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84FA5" w14:textId="77777777" w:rsidR="004D36D7" w:rsidRPr="007649AF" w:rsidRDefault="00795B0D" w:rsidP="00D71C0F">
      <w:pPr>
        <w:pStyle w:val="Title"/>
        <w:rPr>
          <w:rStyle w:val="LabTitleInstVersred"/>
          <w:b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404831BE8EDB4CAC8BB320A8F77BB4E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lang w:val="pt-BR"/>
              <w:rFonts/>
            </w:rPr>
            <w:t xml:space="preserve">Packet Tracer- Implementar EtherChannel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22245B2A" w14:textId="77777777" w:rsidR="00D778DF" w:rsidRPr="00AE402D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AE402D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67CA1526" w14:textId="77777777" w:rsidR="006E6F20" w:rsidRPr="00AE402D" w:rsidRDefault="006E6F20" w:rsidP="006E6F20">
      <w:pPr>
        <w:pStyle w:val="InstNoteRed"/>
      </w:pPr>
      <w:r>
        <w:rPr>
          <w:lang w:val="pt-BR"/>
          <w:rFonts/>
        </w:rPr>
        <w:t xml:space="preserve">Esta atividade requer algum conhecimento de como criar topologias no Packet Tracer.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pode querer treinar rapidamente os alunos sobre como fazer o seguinte:</w:t>
      </w:r>
    </w:p>
    <w:p w14:paraId="4E9A4A2A" w14:textId="2F49461A" w:rsidR="006E6F20" w:rsidRPr="00AE402D" w:rsidRDefault="006E6F20" w:rsidP="006E6F20">
      <w:pPr>
        <w:pStyle w:val="InstNoteRed"/>
        <w:numPr>
          <w:ilvl w:val="0"/>
          <w:numId w:val="10"/>
        </w:numPr>
      </w:pPr>
      <w:r>
        <w:rPr>
          <w:lang w:val="pt-BR"/>
          <w:rFonts/>
        </w:rPr>
        <w:t xml:space="preserve">Selecione modelos de dispositivos específicos e arraste dispositivos para a área de trabalho, especificamente 2960 switches.</w:t>
      </w:r>
    </w:p>
    <w:p w14:paraId="101C14A9" w14:textId="77777777" w:rsidR="006E6F20" w:rsidRPr="00AE402D" w:rsidRDefault="006E6F20" w:rsidP="006E6F20">
      <w:pPr>
        <w:pStyle w:val="InstNoteRed"/>
        <w:numPr>
          <w:ilvl w:val="0"/>
          <w:numId w:val="10"/>
        </w:numPr>
      </w:pPr>
      <w:r>
        <w:rPr>
          <w:lang w:val="pt-BR"/>
          <w:rFonts/>
        </w:rPr>
        <w:t xml:space="preserve">Select an Ethernet-straight through cable.</w:t>
      </w:r>
    </w:p>
    <w:p w14:paraId="20516459" w14:textId="58E4F20B" w:rsidR="006E6F20" w:rsidRPr="00AE402D" w:rsidRDefault="007649AF" w:rsidP="006E6F20">
      <w:pPr>
        <w:pStyle w:val="InstNoteRed"/>
        <w:numPr>
          <w:ilvl w:val="0"/>
          <w:numId w:val="10"/>
        </w:numPr>
      </w:pPr>
      <w:r>
        <w:rPr>
          <w:lang w:val="pt-BR"/>
          <w:rFonts/>
        </w:rPr>
        <w:t xml:space="preserve">Conecte dispositivos com um cabo Ethernet-Copper direto a portas específicas do dispositivo.</w:t>
      </w:r>
    </w:p>
    <w:p w14:paraId="6D8372B6" w14:textId="77777777" w:rsidR="006E6F20" w:rsidRPr="00AE402D" w:rsidRDefault="006E6F20" w:rsidP="006E6F20">
      <w:pPr>
        <w:pStyle w:val="InstNoteRed"/>
        <w:numPr>
          <w:ilvl w:val="0"/>
          <w:numId w:val="10"/>
        </w:numPr>
      </w:pPr>
      <w:r>
        <w:rPr>
          <w:lang w:val="pt-BR"/>
          <w:rFonts/>
        </w:rPr>
        <w:t xml:space="preserve">Altere os nomes de exibição do dispositivo clicando no nome do dispositivo na topologia e digitando um novo nome.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Sempre que isso for feito, o nome do dispositivo é necessário para corresponder </w:t>
      </w:r>
      <w:r w:rsidRPr="00AE402D">
        <w:rPr>
          <w:b/>
          <w:lang w:val="pt-BR"/>
          <w:rFonts/>
        </w:rPr>
        <w:t xml:space="preserve">exatamente ao nome do dispositivo nas instruções. </w:t>
      </w:r>
    </w:p>
    <w:p w14:paraId="05696EFA" w14:textId="77777777" w:rsidR="00C10A16" w:rsidRDefault="00106BE2" w:rsidP="00D71C0F">
      <w:pPr>
        <w:pStyle w:val="Heading1"/>
      </w:pPr>
      <w:r>
        <w:rPr>
          <w:lang w:val="pt-BR"/>
          <w:rFonts/>
        </w:rPr>
        <w:t xml:space="preserve">Objetivos</w:t>
      </w:r>
    </w:p>
    <w:p w14:paraId="38D31116" w14:textId="622682C9" w:rsidR="00DD0E18" w:rsidRDefault="00D25C7B" w:rsidP="00D25C7B">
      <w:pPr>
        <w:pStyle w:val="BodyTextL25Bold"/>
      </w:pPr>
      <w:r>
        <w:rPr>
          <w:lang w:val="pt-BR"/>
          <w:rFonts/>
        </w:rPr>
        <w:t xml:space="preserve">Parte 1: Construir a rede</w:t>
      </w:r>
    </w:p>
    <w:p w14:paraId="14434F8A" w14:textId="48BDEF6D" w:rsidR="00D25C7B" w:rsidRDefault="00D25C7B" w:rsidP="00D25C7B">
      <w:pPr>
        <w:pStyle w:val="BodyTextL25Bold"/>
      </w:pPr>
      <w:r>
        <w:rPr>
          <w:lang w:val="pt-BR"/>
          <w:rFonts/>
        </w:rPr>
        <w:t xml:space="preserve">Parte 2: Configurar o EtherChannel</w:t>
      </w:r>
    </w:p>
    <w:p w14:paraId="5B1C7D4D" w14:textId="77777777" w:rsidR="00D25C7B" w:rsidRDefault="00D25C7B" w:rsidP="00D71C0F">
      <w:pPr>
        <w:pStyle w:val="Heading1"/>
      </w:pPr>
      <w:r>
        <w:rPr>
          <w:lang w:val="pt-BR"/>
          <w:rFonts/>
        </w:rPr>
        <w:t xml:space="preserve">Background</w:t>
      </w:r>
    </w:p>
    <w:p w14:paraId="6EFFDA12" w14:textId="4075BFBA" w:rsidR="00D25C7B" w:rsidRDefault="00D25C7B" w:rsidP="00D25C7B">
      <w:pPr>
        <w:pStyle w:val="BodyTextL25"/>
      </w:pPr>
      <w:r>
        <w:rPr>
          <w:lang w:val="pt-BR"/>
          <w:rFonts/>
        </w:rPr>
        <w:t xml:space="preserve">Você recebeu a tarefa de projetar uma implementação do EtherChannel para uma empresa que deseja melhorar o desempenho de seus links de tronco de switch.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tentará várias maneiras diferentes de implementar os links EtherChannel, a fim de avaliar qual é o melhor para a empresa.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criará a topologia, configurará portas de tronco e implementará EtherChannels LACP e PAgP.</w:t>
      </w:r>
      <w:r>
        <w:rPr>
          <w:lang w:val="pt-BR"/>
          <w:rFonts/>
        </w:rPr>
        <w:t xml:space="preserve"> </w:t>
      </w:r>
    </w:p>
    <w:p w14:paraId="685DE257" w14:textId="77777777" w:rsidR="00D25C7B" w:rsidRDefault="00D25C7B" w:rsidP="00D71C0F">
      <w:pPr>
        <w:pStyle w:val="Heading1"/>
      </w:pPr>
      <w:r>
        <w:rPr>
          <w:lang w:val="pt-BR"/>
          <w:rFonts/>
        </w:rPr>
        <w:t xml:space="preserve">Instruções</w:t>
      </w:r>
    </w:p>
    <w:p w14:paraId="74C122E8" w14:textId="77777777" w:rsidR="00092D3D" w:rsidRDefault="00092D3D" w:rsidP="00371896">
      <w:pPr>
        <w:pStyle w:val="Heading2"/>
      </w:pPr>
      <w:r>
        <w:rPr>
          <w:lang w:val="pt-BR"/>
          <w:rFonts/>
        </w:rPr>
        <w:t xml:space="preserve">Criação da rede</w:t>
      </w:r>
    </w:p>
    <w:p w14:paraId="30650F6D" w14:textId="3A0D6E35" w:rsidR="00092D3D" w:rsidRDefault="00092D3D" w:rsidP="00092D3D">
      <w:pPr>
        <w:pStyle w:val="BodyTextL25"/>
      </w:pPr>
      <w:r>
        <w:rPr>
          <w:lang w:val="pt-BR"/>
          <w:rFonts/>
        </w:rPr>
        <w:t xml:space="preserve">Use a tabela abaixo para criar a topologia do switch.</w:t>
      </w:r>
    </w:p>
    <w:p w14:paraId="300D86DD" w14:textId="77777777" w:rsidR="00106BE2" w:rsidRDefault="00106BE2" w:rsidP="00106BE2">
      <w:pPr>
        <w:pStyle w:val="Heading3"/>
      </w:pPr>
      <w:r>
        <w:rPr>
          <w:lang w:val="pt-BR"/>
          <w:rFonts/>
        </w:rPr>
        <w:t xml:space="preserve">Obtenha os dispositivos necessários.</w:t>
      </w:r>
    </w:p>
    <w:p w14:paraId="11FBA3F4" w14:textId="77777777" w:rsidR="00106BE2" w:rsidRDefault="00106BE2" w:rsidP="00106BE2">
      <w:pPr>
        <w:pStyle w:val="SubStepAlpha"/>
      </w:pPr>
      <w:r>
        <w:rPr>
          <w:lang w:val="pt-BR"/>
          <w:rFonts/>
        </w:rPr>
        <w:t xml:space="preserve">Clique no ícone </w:t>
      </w:r>
      <w:r w:rsidRPr="001374BF">
        <w:rPr>
          <w:b/>
          <w:lang w:val="pt-BR"/>
          <w:rFonts/>
        </w:rPr>
        <w:t xml:space="preserve">Dispositivos de Rede</w:t>
      </w:r>
      <w:r>
        <w:rPr>
          <w:lang w:val="pt-BR"/>
          <w:rFonts/>
        </w:rPr>
        <w:t xml:space="preserve"> na barra de ferramentas inferior.</w:t>
      </w:r>
    </w:p>
    <w:p w14:paraId="7DCD8F0B" w14:textId="544323C0" w:rsidR="00106BE2" w:rsidRDefault="00106BE2" w:rsidP="00106BE2">
      <w:pPr>
        <w:pStyle w:val="SubStepAlpha"/>
      </w:pPr>
      <w:r>
        <w:rPr>
          <w:lang w:val="pt-BR"/>
          <w:rFonts/>
        </w:rPr>
        <w:t xml:space="preserve">Clique na entrada </w:t>
      </w:r>
      <w:r w:rsidR="006B0AC4" w:rsidRPr="001374BF">
        <w:rPr>
          <w:b/>
          <w:lang w:val="pt-BR"/>
          <w:rFonts/>
        </w:rPr>
        <w:t xml:space="preserve">Switches</w:t>
      </w:r>
      <w:r>
        <w:rPr>
          <w:lang w:val="pt-BR"/>
          <w:rFonts/>
        </w:rPr>
        <w:t xml:space="preserve"> no submenu.</w:t>
      </w:r>
    </w:p>
    <w:p w14:paraId="51F59D2B" w14:textId="77777777" w:rsidR="00106BE2" w:rsidRDefault="00106BE2" w:rsidP="00106BE2">
      <w:pPr>
        <w:pStyle w:val="SubStepAlpha"/>
      </w:pPr>
      <w:r>
        <w:rPr>
          <w:lang w:val="pt-BR"/>
          <w:rFonts/>
        </w:rPr>
        <w:t xml:space="preserve">Localize o ícone do switch </w:t>
      </w:r>
      <w:r w:rsidRPr="001374BF">
        <w:rPr>
          <w:b/>
          <w:lang w:val="pt-BR"/>
          <w:rFonts/>
        </w:rPr>
        <w:t xml:space="preserve">2960</w:t>
      </w:r>
      <w:r>
        <w:rPr>
          <w:lang w:val="pt-BR"/>
          <w:rFonts/>
        </w:rPr>
        <w:t xml:space="preserve"> 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Clique e arraste o ícone do switch 2960 para a área de topologia.</w:t>
      </w:r>
    </w:p>
    <w:p w14:paraId="569B6458" w14:textId="77777777" w:rsidR="00106BE2" w:rsidRDefault="00106BE2" w:rsidP="00106BE2">
      <w:pPr>
        <w:pStyle w:val="SubStepAlpha"/>
      </w:pPr>
      <w:r>
        <w:rPr>
          <w:lang w:val="pt-BR"/>
          <w:rFonts/>
        </w:rPr>
        <w:t xml:space="preserve">Repita a etapa acima para que haja </w:t>
      </w:r>
      <w:r w:rsidR="00AA76B1" w:rsidRPr="001374BF">
        <w:rPr>
          <w:b/>
          <w:lang w:val="pt-BR"/>
          <w:rFonts/>
        </w:rPr>
        <w:t xml:space="preserve">três</w:t>
      </w:r>
      <w:r>
        <w:rPr>
          <w:lang w:val="pt-BR"/>
          <w:rFonts/>
        </w:rPr>
        <w:t xml:space="preserve"> switches 2960 na área de topologia.</w:t>
      </w:r>
    </w:p>
    <w:p w14:paraId="22656920" w14:textId="77777777" w:rsidR="00106BE2" w:rsidRDefault="00106BE2" w:rsidP="00106BE2">
      <w:pPr>
        <w:pStyle w:val="SubStepAlpha"/>
      </w:pPr>
      <w:r>
        <w:rPr>
          <w:lang w:val="pt-BR"/>
          <w:rFonts/>
        </w:rPr>
        <w:t xml:space="preserve">Organize os dispositivos em um layout com o qual você pode trabalhar clicando e arrastando.</w:t>
      </w:r>
    </w:p>
    <w:p w14:paraId="277EAC58" w14:textId="77777777" w:rsidR="00106BE2" w:rsidRDefault="00106BE2" w:rsidP="00106BE2">
      <w:pPr>
        <w:pStyle w:val="Heading3"/>
      </w:pPr>
      <w:r>
        <w:rPr>
          <w:lang w:val="pt-BR"/>
          <w:rFonts/>
        </w:rPr>
        <w:t xml:space="preserve">Name the devices.</w:t>
      </w:r>
    </w:p>
    <w:p w14:paraId="41A67CE4" w14:textId="318DA59C" w:rsidR="00106BE2" w:rsidRDefault="00106BE2" w:rsidP="00106BE2">
      <w:pPr>
        <w:pStyle w:val="BodyTextL25"/>
      </w:pPr>
      <w:r>
        <w:rPr>
          <w:lang w:val="pt-BR"/>
          <w:rFonts/>
        </w:rPr>
        <w:t xml:space="preserve">Os dispositivos têm nomes padrão que você precisará alterar.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nomeará os dispositivos </w:t>
      </w:r>
      <w:r>
        <w:rPr>
          <w:b w:val="true"/>
          <w:lang w:val="pt-BR"/>
          <w:rFonts/>
        </w:rPr>
        <w:t xml:space="preserve">SWA</w:t>
      </w:r>
      <w:r>
        <w:rPr>
          <w:lang w:val="pt-BR"/>
          <w:rFonts/>
        </w:rPr>
        <w:t xml:space="preserve">, </w:t>
      </w:r>
      <w:r>
        <w:rPr>
          <w:b w:val="true"/>
          <w:lang w:val="pt-BR"/>
          <w:rFonts/>
        </w:rPr>
        <w:t xml:space="preserve">SWB</w:t>
      </w:r>
      <w:r>
        <w:rPr>
          <w:lang w:val="pt-BR"/>
          <w:rFonts/>
        </w:rPr>
        <w:t xml:space="preserve">e </w:t>
      </w:r>
      <w:r>
        <w:rPr>
          <w:b w:val="true"/>
          <w:lang w:val="pt-BR"/>
          <w:rFonts/>
        </w:rPr>
        <w:t xml:space="preserve">SWC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está alterando os nomes de exibição dos dispositivos.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Este é o rótulo de texto que aparece abaixo de cada dispositivo.</w:t>
      </w:r>
      <w:r>
        <w:rPr>
          <w:lang w:val="pt-BR"/>
          <w:rFonts/>
        </w:rPr>
        <w:t xml:space="preserve"> </w:t>
      </w:r>
      <w:r w:rsidR="001374BF" w:rsidRPr="001374BF">
        <w:rPr>
          <w:b/>
          <w:lang w:val="pt-BR"/>
          <w:rFonts/>
        </w:rPr>
        <w:t xml:space="preserve">Não</w:t>
      </w:r>
      <w:r>
        <w:rPr>
          <w:lang w:val="pt-BR"/>
          <w:rFonts/>
        </w:rPr>
        <w:t xml:space="preserve"> é o nome do host.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Seus nomes de exibição devem corresponder </w:t>
      </w:r>
      <w:r w:rsidRPr="00726AEF">
        <w:rPr>
          <w:b/>
          <w:lang w:val="pt-BR"/>
          <w:rFonts/>
        </w:rPr>
        <w:t xml:space="preserve">exatamente</w:t>
      </w:r>
      <w:r>
        <w:rPr>
          <w:lang w:val="pt-BR"/>
          <w:rFonts/>
        </w:rPr>
        <w:t xml:space="preserve">aos nomes fornecidos nesta etapa.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um nome de exibição não corresponder, você não será marcado para a configuração do dispositivo.</w:t>
      </w:r>
    </w:p>
    <w:p w14:paraId="7440CA3A" w14:textId="023D5BEE" w:rsidR="00106BE2" w:rsidRDefault="00106BE2" w:rsidP="00106BE2">
      <w:pPr>
        <w:pStyle w:val="SubStepAlpha"/>
      </w:pPr>
      <w:r>
        <w:rPr>
          <w:lang w:val="pt-BR"/>
          <w:rFonts/>
        </w:rPr>
        <w:t xml:space="preserve">Clique no nome de exibição do dispositivo que está abaixo do ícone do dispositivo.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 campo de texto deve aparecer com um ponto de inserção intermitente.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a janela de configuração do dispositivo for exibida, feche-a e tente novamente clicando um pouco mais longe do ícone do dispositivo.</w:t>
      </w:r>
    </w:p>
    <w:p w14:paraId="37DD7443" w14:textId="59A21506" w:rsidR="005E0CC6" w:rsidRDefault="00106BE2" w:rsidP="00106BE2">
      <w:pPr>
        <w:pStyle w:val="SubStepAlpha"/>
      </w:pPr>
      <w:r>
        <w:rPr>
          <w:lang w:val="pt-BR"/>
          <w:rFonts/>
        </w:rPr>
        <w:t xml:space="preserve">Substitua o nome de exibição atual pelo nome de exibição apropriado.</w:t>
      </w:r>
    </w:p>
    <w:p w14:paraId="7B679FCC" w14:textId="06FC6F1D" w:rsidR="00106BE2" w:rsidRPr="002B2764" w:rsidRDefault="00106BE2" w:rsidP="00106BE2">
      <w:pPr>
        <w:pStyle w:val="SubStepAlpha"/>
      </w:pPr>
      <w:r>
        <w:rPr>
          <w:lang w:val="pt-BR"/>
          <w:rFonts/>
        </w:rPr>
        <w:t xml:space="preserve">Repita até que todos os dispositivos sejam nomeados.</w:t>
      </w:r>
    </w:p>
    <w:p w14:paraId="516A571C" w14:textId="77777777" w:rsidR="00106BE2" w:rsidRDefault="00106BE2" w:rsidP="00106BE2">
      <w:pPr>
        <w:pStyle w:val="Heading3"/>
      </w:pPr>
      <w:r>
        <w:rPr>
          <w:lang w:val="pt-BR"/>
          <w:rFonts/>
        </w:rPr>
        <w:t xml:space="preserve">Connect the devices.</w:t>
      </w:r>
    </w:p>
    <w:p w14:paraId="779CACB4" w14:textId="7D6C2312" w:rsidR="00106BE2" w:rsidRDefault="00106BE2" w:rsidP="00106BE2">
      <w:pPr>
        <w:pStyle w:val="SubStepAlpha"/>
      </w:pPr>
      <w:r>
        <w:rPr>
          <w:lang w:val="pt-BR"/>
          <w:rFonts/>
        </w:rPr>
        <w:t xml:space="preserve">Clique no ícone Conexões de raio laranja na barra de ferramentas inferior.</w:t>
      </w:r>
    </w:p>
    <w:p w14:paraId="509A65EF" w14:textId="77777777" w:rsidR="00106BE2" w:rsidRDefault="00106BE2" w:rsidP="00106BE2">
      <w:pPr>
        <w:pStyle w:val="SubStepAlpha"/>
      </w:pPr>
      <w:r>
        <w:rPr>
          <w:lang w:val="pt-BR"/>
          <w:rFonts/>
        </w:rPr>
        <w:t xml:space="preserve">Localize o ícone de cabo direto Ethernet.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Parece uma linha diagonal preta sólida.</w:t>
      </w:r>
    </w:p>
    <w:p w14:paraId="4E455512" w14:textId="77777777" w:rsidR="00106BE2" w:rsidRDefault="00106BE2" w:rsidP="00106BE2">
      <w:pPr>
        <w:pStyle w:val="SubStepAlpha"/>
      </w:pPr>
      <w:r>
        <w:rPr>
          <w:lang w:val="pt-BR"/>
          <w:rFonts/>
        </w:rPr>
        <w:t xml:space="preserve">Para conectar o dispositivo, clique no ícone de cabo direto Ethernet e, em seguida, clique no primeiro dispositivo que você deseja conectar.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a porta correta e clique no segundo dispositivo.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Selecione a porta correta e os dispositivos serão conectados.</w:t>
      </w:r>
    </w:p>
    <w:p w14:paraId="54DD65CF" w14:textId="77777777" w:rsidR="00106BE2" w:rsidRDefault="00106BE2" w:rsidP="00106BE2">
      <w:pPr>
        <w:pStyle w:val="SubStepAlpha"/>
      </w:pPr>
      <w:r>
        <w:rPr>
          <w:lang w:val="pt-BR"/>
          <w:rFonts/>
        </w:rPr>
        <w:t xml:space="preserve">Conecte os dispositivos conforme especificado na tabela abaixo.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Port Channel Table"/>
        <w:tblDescription w:val="Tabela de canais de porta, dispositivos e portas que os conectam. O tipo de canal de porta também é dado."/>
      </w:tblPr>
      <w:tblGrid>
        <w:gridCol w:w="2361"/>
        <w:gridCol w:w="2362"/>
        <w:gridCol w:w="2361"/>
        <w:gridCol w:w="2362"/>
      </w:tblGrid>
      <w:tr w:rsidR="005E0CC6" w14:paraId="68EECAC2" w14:textId="77777777" w:rsidTr="00D71C0F">
        <w:trPr>
          <w:trHeight w:val="530"/>
          <w:jc w:val="center"/>
        </w:trPr>
        <w:tc>
          <w:tcPr>
            <w:tcW w:w="236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80AC5FA" w14:textId="77777777" w:rsidR="005E0CC6" w:rsidRDefault="005E0CC6" w:rsidP="007649AF">
            <w:pPr>
              <w:pStyle w:val="TableHeading"/>
            </w:pPr>
            <w:r>
              <w:rPr>
                <w:lang w:val="pt-BR"/>
                <w:rFonts/>
              </w:rPr>
              <w:t xml:space="preserve">Port Channel</w:t>
            </w:r>
          </w:p>
        </w:tc>
        <w:tc>
          <w:tcPr>
            <w:tcW w:w="2362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059F8E3" w14:textId="77777777" w:rsidR="005E0CC6" w:rsidRDefault="005E0CC6" w:rsidP="007649AF">
            <w:pPr>
              <w:pStyle w:val="TableHeading"/>
            </w:pPr>
            <w:r>
              <w:rPr>
                <w:lang w:val="pt-BR"/>
                <w:rFonts/>
              </w:rPr>
              <w:t xml:space="preserve">Dispositivos</w:t>
            </w:r>
          </w:p>
        </w:tc>
        <w:tc>
          <w:tcPr>
            <w:tcW w:w="2361" w:type="dxa"/>
            <w:shd w:val="clear" w:color="auto" w:fill="DBE5F1" w:themeFill="accent1" w:themeFillTint="33"/>
            <w:vAlign w:val="center"/>
          </w:tcPr>
          <w:p w14:paraId="06ADF9FB" w14:textId="77777777" w:rsidR="005E0CC6" w:rsidRDefault="005E0CC6" w:rsidP="007649AF">
            <w:pPr>
              <w:pStyle w:val="TableHeading"/>
            </w:pPr>
            <w:r>
              <w:rPr>
                <w:lang w:val="pt-BR"/>
                <w:rFonts/>
              </w:rPr>
              <w:t xml:space="preserve">Conexões de porta</w:t>
            </w:r>
          </w:p>
        </w:tc>
        <w:tc>
          <w:tcPr>
            <w:tcW w:w="236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5B5BB9AB" w14:textId="77777777" w:rsidR="005E0CC6" w:rsidRDefault="005E0CC6" w:rsidP="007649AF">
            <w:pPr>
              <w:pStyle w:val="TableHeading"/>
            </w:pPr>
            <w:r>
              <w:rPr>
                <w:lang w:val="pt-BR"/>
                <w:rFonts/>
              </w:rPr>
              <w:t xml:space="preserve">Tipo</w:t>
            </w:r>
          </w:p>
        </w:tc>
      </w:tr>
      <w:tr w:rsidR="005E0CC6" w14:paraId="18378D0A" w14:textId="77777777" w:rsidTr="00D71C0F">
        <w:trPr>
          <w:jc w:val="center"/>
        </w:trPr>
        <w:tc>
          <w:tcPr>
            <w:tcW w:w="2361" w:type="dxa"/>
            <w:tcBorders>
              <w:bottom w:val="nil"/>
            </w:tcBorders>
          </w:tcPr>
          <w:p w14:paraId="2BE55510" w14:textId="77777777" w:rsidR="005E0CC6" w:rsidRPr="00D71C0F" w:rsidRDefault="005E0CC6" w:rsidP="00D71C0F">
            <w:pPr>
              <w:pStyle w:val="TableText"/>
            </w:pPr>
            <w:r>
              <w:rPr>
                <w:lang w:val="pt-BR"/>
                <w:rFonts/>
              </w:rPr>
              <w:t xml:space="preserve">1</w:t>
            </w:r>
          </w:p>
        </w:tc>
        <w:tc>
          <w:tcPr>
            <w:tcW w:w="2362" w:type="dxa"/>
            <w:tcBorders>
              <w:bottom w:val="nil"/>
            </w:tcBorders>
          </w:tcPr>
          <w:p w14:paraId="17FCFF76" w14:textId="5EF57CCC" w:rsidR="005E0CC6" w:rsidRPr="00D71C0F" w:rsidRDefault="005E0CC6" w:rsidP="00D71C0F">
            <w:pPr>
              <w:pStyle w:val="TableText"/>
            </w:pPr>
            <w:r>
              <w:rPr>
                <w:lang w:val="pt-BR"/>
                <w:rFonts/>
              </w:rPr>
              <w:t xml:space="preserve">SWA para SWB</w:t>
            </w:r>
          </w:p>
        </w:tc>
        <w:tc>
          <w:tcPr>
            <w:tcW w:w="2361" w:type="dxa"/>
          </w:tcPr>
          <w:p w14:paraId="5FE111A1" w14:textId="77777777" w:rsidR="005E0CC6" w:rsidRDefault="005E0CC6" w:rsidP="007649AF">
            <w:pPr>
              <w:pStyle w:val="TableText"/>
            </w:pPr>
            <w:r>
              <w:rPr>
                <w:lang w:val="pt-BR"/>
                <w:rFonts/>
              </w:rPr>
              <w:t xml:space="preserve">G0/1 para G0/1</w:t>
            </w:r>
          </w:p>
        </w:tc>
        <w:tc>
          <w:tcPr>
            <w:tcW w:w="2362" w:type="dxa"/>
            <w:tcBorders>
              <w:bottom w:val="nil"/>
            </w:tcBorders>
          </w:tcPr>
          <w:p w14:paraId="586E3D6E" w14:textId="77777777" w:rsidR="005E0CC6" w:rsidRDefault="005E0CC6" w:rsidP="007649AF">
            <w:pPr>
              <w:pStyle w:val="TableText"/>
            </w:pPr>
            <w:r>
              <w:rPr>
                <w:lang w:val="pt-BR"/>
                <w:rFonts/>
              </w:rPr>
              <w:t xml:space="preserve">PAgP</w:t>
            </w:r>
          </w:p>
        </w:tc>
      </w:tr>
      <w:tr w:rsidR="005E0CC6" w14:paraId="02168D05" w14:textId="77777777" w:rsidTr="00D71C0F">
        <w:trPr>
          <w:jc w:val="center"/>
        </w:trPr>
        <w:tc>
          <w:tcPr>
            <w:tcW w:w="2361" w:type="dxa"/>
            <w:tcBorders>
              <w:top w:val="nil"/>
              <w:bottom w:val="single" w:sz="4" w:space="0" w:color="auto"/>
            </w:tcBorders>
          </w:tcPr>
          <w:p w14:paraId="262A7793" w14:textId="1D3F611D" w:rsidR="005E0CC6" w:rsidRPr="00AF5232" w:rsidRDefault="005E0CC6" w:rsidP="00D71C0F">
            <w:pPr>
              <w:pStyle w:val="ConfigWindow"/>
            </w:pPr>
            <w:r>
              <w:rPr>
                <w:lang w:val="pt-BR"/>
                <w:rFonts/>
              </w:rPr>
              <w:t xml:space="preserve">1</w:t>
            </w:r>
          </w:p>
        </w:tc>
        <w:tc>
          <w:tcPr>
            <w:tcW w:w="2362" w:type="dxa"/>
            <w:tcBorders>
              <w:top w:val="nil"/>
              <w:bottom w:val="single" w:sz="4" w:space="0" w:color="auto"/>
            </w:tcBorders>
          </w:tcPr>
          <w:p w14:paraId="463A0C0F" w14:textId="1AFC2D07" w:rsidR="005E0CC6" w:rsidRPr="00F10924" w:rsidRDefault="00F10924" w:rsidP="00D71C0F">
            <w:pPr>
              <w:pStyle w:val="ConfigWindow"/>
            </w:pPr>
            <w:r>
              <w:rPr>
                <w:lang w:val="pt-BR"/>
                <w:rFonts/>
              </w:rPr>
              <w:t xml:space="preserve">SWA para SWB</w:t>
            </w:r>
          </w:p>
        </w:tc>
        <w:tc>
          <w:tcPr>
            <w:tcW w:w="2361" w:type="dxa"/>
          </w:tcPr>
          <w:p w14:paraId="3BED6421" w14:textId="44CBBC01" w:rsidR="005E0CC6" w:rsidRDefault="005E0CC6" w:rsidP="007649AF">
            <w:pPr>
              <w:pStyle w:val="TableText"/>
            </w:pPr>
            <w:r>
              <w:rPr>
                <w:lang w:val="pt-BR"/>
                <w:rFonts/>
              </w:rPr>
              <w:t xml:space="preserve">G0/2 para G0/2</w:t>
            </w:r>
          </w:p>
        </w:tc>
        <w:tc>
          <w:tcPr>
            <w:tcW w:w="2362" w:type="dxa"/>
            <w:tcBorders>
              <w:top w:val="nil"/>
              <w:bottom w:val="single" w:sz="4" w:space="0" w:color="auto"/>
            </w:tcBorders>
          </w:tcPr>
          <w:p w14:paraId="1D27272C" w14:textId="77777777" w:rsidR="005E0CC6" w:rsidRDefault="005E0CC6" w:rsidP="007649AF">
            <w:pPr>
              <w:pStyle w:val="TableText"/>
            </w:pPr>
          </w:p>
        </w:tc>
      </w:tr>
      <w:tr w:rsidR="005E0CC6" w14:paraId="2407EF99" w14:textId="77777777" w:rsidTr="00D71C0F">
        <w:trPr>
          <w:jc w:val="center"/>
        </w:trPr>
        <w:tc>
          <w:tcPr>
            <w:tcW w:w="2361" w:type="dxa"/>
            <w:tcBorders>
              <w:bottom w:val="nil"/>
            </w:tcBorders>
          </w:tcPr>
          <w:p w14:paraId="362C979D" w14:textId="77777777" w:rsidR="005E0CC6" w:rsidRPr="00D71C0F" w:rsidRDefault="005E0CC6" w:rsidP="00D71C0F">
            <w:pPr>
              <w:pStyle w:val="TableText"/>
            </w:pPr>
            <w:r>
              <w:rPr>
                <w:lang w:val="pt-BR"/>
                <w:rFonts/>
              </w:rPr>
              <w:t xml:space="preserve">2</w:t>
            </w:r>
          </w:p>
        </w:tc>
        <w:tc>
          <w:tcPr>
            <w:tcW w:w="2362" w:type="dxa"/>
            <w:tcBorders>
              <w:bottom w:val="nil"/>
            </w:tcBorders>
          </w:tcPr>
          <w:p w14:paraId="67C12E9D" w14:textId="77777777" w:rsidR="005E0CC6" w:rsidRPr="00D71C0F" w:rsidRDefault="005E0CC6" w:rsidP="00D71C0F">
            <w:pPr>
              <w:pStyle w:val="TableText"/>
            </w:pPr>
            <w:r>
              <w:rPr>
                <w:lang w:val="pt-BR"/>
                <w:rFonts/>
              </w:rPr>
              <w:t xml:space="preserve">SWA para SWC</w:t>
            </w:r>
          </w:p>
        </w:tc>
        <w:tc>
          <w:tcPr>
            <w:tcW w:w="2361" w:type="dxa"/>
          </w:tcPr>
          <w:p w14:paraId="79261FF0" w14:textId="0FDEA3BF" w:rsidR="005E0CC6" w:rsidRDefault="005E0CC6" w:rsidP="007649AF">
            <w:pPr>
              <w:pStyle w:val="TableText"/>
            </w:pPr>
            <w:r>
              <w:rPr>
                <w:lang w:val="pt-BR"/>
                <w:rFonts/>
              </w:rPr>
              <w:t xml:space="preserve">F0/21 para F0/21</w:t>
            </w:r>
          </w:p>
        </w:tc>
        <w:tc>
          <w:tcPr>
            <w:tcW w:w="2362" w:type="dxa"/>
            <w:tcBorders>
              <w:bottom w:val="nil"/>
            </w:tcBorders>
          </w:tcPr>
          <w:p w14:paraId="46A43166" w14:textId="77777777" w:rsidR="005E0CC6" w:rsidRDefault="005E0CC6" w:rsidP="007649AF">
            <w:pPr>
              <w:pStyle w:val="TableText"/>
            </w:pPr>
            <w:r>
              <w:rPr>
                <w:lang w:val="pt-BR"/>
                <w:rFonts/>
              </w:rPr>
              <w:t xml:space="preserve">LACP</w:t>
            </w:r>
          </w:p>
        </w:tc>
      </w:tr>
      <w:tr w:rsidR="005E0CC6" w14:paraId="1DEE2C63" w14:textId="77777777" w:rsidTr="00D71C0F">
        <w:trPr>
          <w:jc w:val="center"/>
        </w:trPr>
        <w:tc>
          <w:tcPr>
            <w:tcW w:w="2361" w:type="dxa"/>
            <w:tcBorders>
              <w:top w:val="nil"/>
              <w:bottom w:val="single" w:sz="4" w:space="0" w:color="auto"/>
            </w:tcBorders>
          </w:tcPr>
          <w:p w14:paraId="5F7F7661" w14:textId="237D5B23" w:rsidR="005E0CC6" w:rsidRPr="00AF5232" w:rsidRDefault="005E0CC6" w:rsidP="00D71C0F">
            <w:pPr>
              <w:pStyle w:val="ConfigWindow"/>
            </w:pPr>
            <w:r>
              <w:rPr>
                <w:lang w:val="pt-BR"/>
                <w:rFonts/>
              </w:rPr>
              <w:t xml:space="preserve">2</w:t>
            </w:r>
          </w:p>
        </w:tc>
        <w:tc>
          <w:tcPr>
            <w:tcW w:w="2362" w:type="dxa"/>
            <w:tcBorders>
              <w:top w:val="nil"/>
              <w:bottom w:val="single" w:sz="4" w:space="0" w:color="auto"/>
            </w:tcBorders>
          </w:tcPr>
          <w:p w14:paraId="37ED511D" w14:textId="2A4814D2" w:rsidR="005E0CC6" w:rsidRPr="00F10924" w:rsidRDefault="00F10924" w:rsidP="00D71C0F">
            <w:pPr>
              <w:pStyle w:val="ConfigWindow"/>
            </w:pPr>
            <w:r>
              <w:rPr>
                <w:lang w:val="pt-BR"/>
                <w:rFonts/>
              </w:rPr>
              <w:t xml:space="preserve">SWA para SWC</w:t>
            </w:r>
          </w:p>
        </w:tc>
        <w:tc>
          <w:tcPr>
            <w:tcW w:w="2361" w:type="dxa"/>
          </w:tcPr>
          <w:p w14:paraId="264D9243" w14:textId="48D2C0B2" w:rsidR="005E0CC6" w:rsidRDefault="005E0CC6" w:rsidP="007649AF">
            <w:pPr>
              <w:pStyle w:val="TableText"/>
            </w:pPr>
            <w:r>
              <w:rPr>
                <w:lang w:val="pt-BR"/>
                <w:rFonts/>
              </w:rPr>
              <w:t xml:space="preserve">F0/22 para F0/22</w:t>
            </w:r>
          </w:p>
        </w:tc>
        <w:tc>
          <w:tcPr>
            <w:tcW w:w="2362" w:type="dxa"/>
            <w:tcBorders>
              <w:top w:val="nil"/>
              <w:bottom w:val="single" w:sz="4" w:space="0" w:color="auto"/>
            </w:tcBorders>
          </w:tcPr>
          <w:p w14:paraId="08F0EE2F" w14:textId="77777777" w:rsidR="005E0CC6" w:rsidRDefault="005E0CC6" w:rsidP="007649AF">
            <w:pPr>
              <w:pStyle w:val="TableText"/>
            </w:pPr>
          </w:p>
        </w:tc>
      </w:tr>
      <w:tr w:rsidR="005E0CC6" w14:paraId="32C5AABD" w14:textId="77777777" w:rsidTr="00D71C0F">
        <w:trPr>
          <w:jc w:val="center"/>
        </w:trPr>
        <w:tc>
          <w:tcPr>
            <w:tcW w:w="2361" w:type="dxa"/>
            <w:tcBorders>
              <w:top w:val="single" w:sz="4" w:space="0" w:color="auto"/>
              <w:bottom w:val="nil"/>
            </w:tcBorders>
            <w:vAlign w:val="center"/>
          </w:tcPr>
          <w:p w14:paraId="552984FD" w14:textId="77777777" w:rsidR="005E0CC6" w:rsidRPr="00D71C0F" w:rsidRDefault="005E0CC6" w:rsidP="00D71C0F">
            <w:pPr>
              <w:pStyle w:val="TableText"/>
            </w:pPr>
            <w:r>
              <w:rPr>
                <w:lang w:val="pt-BR"/>
                <w:rFonts/>
              </w:rPr>
              <w:t xml:space="preserve">3</w:t>
            </w:r>
          </w:p>
        </w:tc>
        <w:tc>
          <w:tcPr>
            <w:tcW w:w="2362" w:type="dxa"/>
            <w:tcBorders>
              <w:top w:val="single" w:sz="4" w:space="0" w:color="auto"/>
              <w:bottom w:val="nil"/>
            </w:tcBorders>
          </w:tcPr>
          <w:p w14:paraId="34DFD280" w14:textId="77777777" w:rsidR="005E0CC6" w:rsidRPr="00D71C0F" w:rsidRDefault="005E0CC6" w:rsidP="00D71C0F">
            <w:pPr>
              <w:pStyle w:val="TableText"/>
            </w:pPr>
            <w:r>
              <w:rPr>
                <w:lang w:val="pt-BR"/>
                <w:rFonts/>
              </w:rPr>
              <w:t xml:space="preserve">SWB para SWC</w:t>
            </w:r>
          </w:p>
        </w:tc>
        <w:tc>
          <w:tcPr>
            <w:tcW w:w="2361" w:type="dxa"/>
          </w:tcPr>
          <w:p w14:paraId="099B4442" w14:textId="3DCEFD28" w:rsidR="005E0CC6" w:rsidRDefault="005E0CC6" w:rsidP="007649AF">
            <w:pPr>
              <w:pStyle w:val="TableText"/>
            </w:pPr>
            <w:r>
              <w:rPr>
                <w:lang w:val="pt-BR"/>
                <w:rFonts/>
              </w:rPr>
              <w:t xml:space="preserve">F0/23 para F0/23</w:t>
            </w:r>
          </w:p>
        </w:tc>
        <w:tc>
          <w:tcPr>
            <w:tcW w:w="2362" w:type="dxa"/>
            <w:tcBorders>
              <w:bottom w:val="nil"/>
            </w:tcBorders>
          </w:tcPr>
          <w:p w14:paraId="24963D98" w14:textId="77777777" w:rsidR="005E0CC6" w:rsidRDefault="005E0CC6" w:rsidP="007649AF">
            <w:pPr>
              <w:pStyle w:val="TableText"/>
            </w:pPr>
            <w:r>
              <w:rPr>
                <w:lang w:val="pt-BR"/>
                <w:rFonts/>
              </w:rPr>
              <w:t xml:space="preserve">LACP</w:t>
            </w:r>
          </w:p>
        </w:tc>
      </w:tr>
      <w:tr w:rsidR="005E0CC6" w14:paraId="0D13CA01" w14:textId="77777777" w:rsidTr="00D71C0F">
        <w:trPr>
          <w:jc w:val="center"/>
        </w:trPr>
        <w:tc>
          <w:tcPr>
            <w:tcW w:w="2361" w:type="dxa"/>
            <w:tcBorders>
              <w:top w:val="nil"/>
            </w:tcBorders>
          </w:tcPr>
          <w:p w14:paraId="6433E92D" w14:textId="1B1E0E7E" w:rsidR="005E0CC6" w:rsidRPr="00AF5232" w:rsidRDefault="005E0CC6" w:rsidP="00D71C0F">
            <w:pPr>
              <w:pStyle w:val="ConfigWindow"/>
            </w:pPr>
            <w:r>
              <w:rPr>
                <w:lang w:val="pt-BR"/>
                <w:rFonts/>
              </w:rPr>
              <w:t xml:space="preserve">3</w:t>
            </w:r>
          </w:p>
        </w:tc>
        <w:tc>
          <w:tcPr>
            <w:tcW w:w="2362" w:type="dxa"/>
            <w:tcBorders>
              <w:top w:val="nil"/>
            </w:tcBorders>
          </w:tcPr>
          <w:p w14:paraId="36855F5B" w14:textId="57D9DECD" w:rsidR="005E0CC6" w:rsidRPr="00F10924" w:rsidRDefault="00F10924" w:rsidP="00D71C0F">
            <w:pPr>
              <w:pStyle w:val="ConfigWindow"/>
            </w:pPr>
            <w:r>
              <w:rPr>
                <w:lang w:val="pt-BR"/>
                <w:rFonts/>
              </w:rPr>
              <w:t xml:space="preserve">SWA para SWC</w:t>
            </w:r>
          </w:p>
        </w:tc>
        <w:tc>
          <w:tcPr>
            <w:tcW w:w="2361" w:type="dxa"/>
          </w:tcPr>
          <w:p w14:paraId="35A7F123" w14:textId="65DBD6DE" w:rsidR="005E0CC6" w:rsidRDefault="005E0CC6" w:rsidP="007649AF">
            <w:pPr>
              <w:pStyle w:val="TableText"/>
            </w:pPr>
            <w:r>
              <w:rPr>
                <w:lang w:val="pt-BR"/>
                <w:rFonts/>
              </w:rPr>
              <w:t xml:space="preserve">F0/24 para F0/24</w:t>
            </w:r>
          </w:p>
        </w:tc>
        <w:tc>
          <w:tcPr>
            <w:tcW w:w="2362" w:type="dxa"/>
            <w:tcBorders>
              <w:top w:val="nil"/>
            </w:tcBorders>
          </w:tcPr>
          <w:p w14:paraId="06DAA5B5" w14:textId="77777777" w:rsidR="005E0CC6" w:rsidRDefault="005E0CC6" w:rsidP="007649AF">
            <w:pPr>
              <w:pStyle w:val="TableText"/>
            </w:pPr>
          </w:p>
        </w:tc>
      </w:tr>
    </w:tbl>
    <w:p w14:paraId="192EF497" w14:textId="30B8D28D" w:rsidR="00092D3D" w:rsidRDefault="00AA76B1" w:rsidP="00AA76B1">
      <w:pPr>
        <w:pStyle w:val="Heading2"/>
      </w:pPr>
      <w:r>
        <w:rPr>
          <w:lang w:val="pt-BR"/>
          <w:rFonts/>
        </w:rPr>
        <w:t xml:space="preserve">Configurar o EtherChannel</w:t>
      </w:r>
    </w:p>
    <w:p w14:paraId="3D72363A" w14:textId="654DA90E" w:rsidR="00F813AB" w:rsidRPr="00F813AB" w:rsidRDefault="00F813AB" w:rsidP="00F813AB">
      <w:pPr>
        <w:pStyle w:val="ConfigWindow"/>
      </w:pPr>
      <w:r>
        <w:rPr>
          <w:lang w:val="pt-BR"/>
          <w:rFonts/>
        </w:rPr>
        <w:t xml:space="preserve">Abrir a janela de configuração</w:t>
      </w:r>
    </w:p>
    <w:p w14:paraId="396A0418" w14:textId="77777777" w:rsidR="00AA76B1" w:rsidRDefault="00AA76B1" w:rsidP="00F813AB">
      <w:pPr>
        <w:pStyle w:val="BodyTextL25"/>
        <w:spacing w:before="0"/>
      </w:pPr>
      <w:r>
        <w:rPr>
          <w:lang w:val="pt-BR"/>
          <w:rFonts/>
        </w:rPr>
        <w:t xml:space="preserve">Em cada switch, configure as portas que serão usadas nos Canais de Porta como portas de tronco estáticas.</w:t>
      </w:r>
    </w:p>
    <w:p w14:paraId="332BF23F" w14:textId="77777777" w:rsidR="003978C0" w:rsidRDefault="003978C0" w:rsidP="003E23E9">
      <w:pPr>
        <w:pStyle w:val="Heading3"/>
      </w:pPr>
      <w:r>
        <w:rPr>
          <w:lang w:val="pt-BR"/>
          <w:rFonts/>
        </w:rPr>
        <w:t xml:space="preserve">Configurar um PAgP EtherChannel.</w:t>
      </w:r>
    </w:p>
    <w:p w14:paraId="6F1DAD18" w14:textId="1F5BF2CC" w:rsidR="00F576A3" w:rsidRDefault="00AF5232" w:rsidP="003978C0">
      <w:pPr>
        <w:pStyle w:val="BodyTextL25"/>
      </w:pPr>
      <w:r>
        <w:rPr>
          <w:lang w:val="pt-BR"/>
          <w:rFonts/>
        </w:rPr>
        <w:t xml:space="preserve">Siga o procedimento usado em atividades anteriores para configurar o Canal de Porta 1 como um EtherChannel PAgP entre SWA e SWB.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Ambos os lados devem negociar o canal EtherChannel.</w:t>
      </w:r>
    </w:p>
    <w:p w14:paraId="60865406" w14:textId="77777777" w:rsidR="00177840" w:rsidRDefault="00177840" w:rsidP="00DE63DD">
      <w:pPr>
        <w:pStyle w:val="Heading3"/>
      </w:pPr>
      <w:r>
        <w:rPr>
          <w:lang w:val="pt-BR"/>
          <w:rFonts/>
        </w:rPr>
        <w:t xml:space="preserve">Configure um EtherChannel do LACP.</w:t>
      </w:r>
    </w:p>
    <w:p w14:paraId="1CD430CC" w14:textId="53784A79" w:rsidR="00CC1056" w:rsidRDefault="00CC1056" w:rsidP="00CC1056">
      <w:pPr>
        <w:pStyle w:val="BodyTextL25"/>
      </w:pPr>
      <w:r>
        <w:rPr>
          <w:lang w:val="pt-BR"/>
          <w:rFonts/>
        </w:rPr>
        <w:t xml:space="preserve">Configure o Canal de Porta 2 como um canal LACP entre SWA e SWC.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Ambos os lados devem negociar o canal EtherChannel.</w:t>
      </w:r>
    </w:p>
    <w:p w14:paraId="1360D44F" w14:textId="77777777" w:rsidR="00F576A3" w:rsidRDefault="00F576A3" w:rsidP="00DE63DD">
      <w:pPr>
        <w:pStyle w:val="Heading3"/>
      </w:pPr>
      <w:r>
        <w:rPr>
          <w:lang w:val="pt-BR"/>
          <w:rFonts/>
        </w:rPr>
        <w:t xml:space="preserve">Configurar um EtherChannel de LACP de backup</w:t>
      </w:r>
    </w:p>
    <w:p w14:paraId="788274D1" w14:textId="2A4A1ABC" w:rsidR="00F576A3" w:rsidRDefault="005F4580" w:rsidP="005F4580">
      <w:pPr>
        <w:pStyle w:val="BodyTextL25"/>
      </w:pPr>
      <w:r>
        <w:rPr>
          <w:lang w:val="pt-BR"/>
          <w:rFonts/>
        </w:rPr>
        <w:t xml:space="preserve">Configure o canal de porta 3 como um canal LACP entre SWB e SWC.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Nesse caso, o SWC inicia a negociação com o SWB.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SWB não inicia a negociação do canal.</w:t>
      </w:r>
    </w:p>
    <w:p w14:paraId="77F06314" w14:textId="766E48CA" w:rsidR="00F813AB" w:rsidRDefault="00F813AB" w:rsidP="00F813AB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14:paraId="3FC86AAA" w14:textId="615A37F3" w:rsidR="005F4580" w:rsidRDefault="00D71C0F" w:rsidP="00D71C0F">
      <w:pPr>
        <w:pStyle w:val="ConfigWindow"/>
      </w:pPr>
      <w:r>
        <w:rPr>
          <w:lang w:val="pt-BR"/>
          <w:rFonts/>
        </w:rPr>
        <w:t xml:space="preserve">Fim do documento</w:t>
      </w:r>
    </w:p>
    <w:p w14:paraId="06B0D59A" w14:textId="77777777" w:rsidR="005F4580" w:rsidRDefault="005F4580" w:rsidP="00D71C0F">
      <w:pPr>
        <w:pStyle w:val="Heading1"/>
      </w:pPr>
      <w:r>
        <w:rPr>
          <w:shd w:val="clear" w:color="auto" w:fill="BFBFBF" w:themeFill="background1" w:themeFillShade="BF"/>
          <w:lang w:val="pt-BR"/>
          <w:rFonts/>
        </w:rPr>
        <w:t xml:space="preserve">Scripts de Resposta</w:t>
      </w:r>
    </w:p>
    <w:p w14:paraId="48FF2041" w14:textId="4CF63566" w:rsidR="005F4580" w:rsidRPr="00D71C0F" w:rsidRDefault="00D71C0F" w:rsidP="00D71C0F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Comutador SWA</w:t>
      </w:r>
    </w:p>
    <w:p w14:paraId="579BEF96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</w:t>
      </w:r>
    </w:p>
    <w:p w14:paraId="72EC0FA5" w14:textId="5EE419DD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6521342F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FastEthernet0/21</w:t>
      </w:r>
    </w:p>
    <w:p w14:paraId="45DBEA08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50E2E246" w14:textId="5C101712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2 mode active</w:t>
      </w:r>
    </w:p>
    <w:p w14:paraId="2B0F71CB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FastEthernet0/22</w:t>
      </w:r>
    </w:p>
    <w:p w14:paraId="0A8D54D6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6CED8B5D" w14:textId="14C99C03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2 mode active</w:t>
      </w:r>
    </w:p>
    <w:p w14:paraId="0E8B322D" w14:textId="7218C9EE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FastEthernet0/23</w:t>
      </w:r>
    </w:p>
    <w:p w14:paraId="54AC177E" w14:textId="0C0DB3FA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FastEthernet0/24</w:t>
      </w:r>
    </w:p>
    <w:p w14:paraId="690E12DD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</w:t>
      </w:r>
    </w:p>
    <w:p w14:paraId="5BF69D2C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3F9DAA87" w14:textId="0F78E228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1 mode desirable</w:t>
      </w:r>
    </w:p>
    <w:p w14:paraId="1EA3DF6D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GigabitEthernet0/2</w:t>
      </w:r>
    </w:p>
    <w:p w14:paraId="0FBF1F09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1B82B522" w14:textId="3957E24A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1 mode desirable</w:t>
      </w:r>
    </w:p>
    <w:p w14:paraId="006B9346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14:paraId="531235ED" w14:textId="1E64D763" w:rsidR="005F4580" w:rsidRPr="00D71C0F" w:rsidRDefault="00D71C0F" w:rsidP="00D71C0F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SWB</w:t>
      </w:r>
    </w:p>
    <w:p w14:paraId="5E0BB9B9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</w:t>
      </w:r>
    </w:p>
    <w:p w14:paraId="047E4500" w14:textId="446D6870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7B29C96C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FastEthernet0/23</w:t>
      </w:r>
    </w:p>
    <w:p w14:paraId="0D211C74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12620A7C" w14:textId="71607D11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3 mode passive</w:t>
      </w:r>
    </w:p>
    <w:p w14:paraId="5638F90F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FastEthernet0/24</w:t>
      </w:r>
    </w:p>
    <w:p w14:paraId="62B78F43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10C9478F" w14:textId="421301E1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3 mode passive</w:t>
      </w:r>
    </w:p>
    <w:p w14:paraId="14CAE5AF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</w:t>
      </w:r>
    </w:p>
    <w:p w14:paraId="46DA2EE9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17DBCF7C" w14:textId="0D4D8928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1 mode desirable</w:t>
      </w:r>
    </w:p>
    <w:p w14:paraId="66B37779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GigabitEthernet0/2</w:t>
      </w:r>
    </w:p>
    <w:p w14:paraId="0DFB5C57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75886A44" w14:textId="1D0D27A0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1 mode desirable</w:t>
      </w:r>
    </w:p>
    <w:p w14:paraId="0D61A353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14:paraId="628423A4" w14:textId="1435C1FC" w:rsidR="005F4580" w:rsidRPr="00D71C0F" w:rsidRDefault="00D71C0F" w:rsidP="00D71C0F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SWC</w:t>
      </w:r>
    </w:p>
    <w:p w14:paraId="0DB5C94D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</w:t>
      </w:r>
    </w:p>
    <w:p w14:paraId="7C64DB16" w14:textId="07E68E89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4435D99F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FastEthernet0/21</w:t>
      </w:r>
    </w:p>
    <w:p w14:paraId="60EA81B3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57F9D319" w14:textId="4158F479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2 mode active</w:t>
      </w:r>
    </w:p>
    <w:p w14:paraId="2624562D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FastEthernet0/22</w:t>
      </w:r>
    </w:p>
    <w:p w14:paraId="5B0ACBFF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79DFE76E" w14:textId="1611A221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2 mode active</w:t>
      </w:r>
    </w:p>
    <w:p w14:paraId="1DBE4EF7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FastEthernet0/23</w:t>
      </w:r>
    </w:p>
    <w:p w14:paraId="28E811B4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01D2DDEE" w14:textId="462A01E2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3 mode active</w:t>
      </w:r>
    </w:p>
    <w:p w14:paraId="1198B1CE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FastEthernet0/24</w:t>
      </w:r>
    </w:p>
    <w:p w14:paraId="29E9E41C" w14:textId="77777777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2A0FE3FD" w14:textId="44EE1D7F" w:rsidR="005F4580" w:rsidRPr="005F4580" w:rsidRDefault="005F4580" w:rsidP="00D71C0F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channel-group 3 mode active</w:t>
      </w:r>
    </w:p>
    <w:p w14:paraId="3EAA2193" w14:textId="77777777" w:rsidR="005F4580" w:rsidRPr="005F4580" w:rsidRDefault="005F4580" w:rsidP="00D71C0F">
      <w:pPr>
        <w:pStyle w:val="DevConfigs"/>
      </w:pPr>
      <w:r>
        <w:rPr>
          <w:rStyle w:val="DevConfigGray"/>
          <w:lang w:val="pt-BR"/>
          <w:rFonts/>
        </w:rPr>
        <w:t xml:space="preserve">finalizar</w:t>
      </w:r>
    </w:p>
    <w:sectPr w:rsidR="005F4580" w:rsidRPr="005F458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7FADF" w14:textId="77777777" w:rsidR="00795B0D" w:rsidRDefault="00795B0D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3FAFED0B" w14:textId="77777777" w:rsidR="00795B0D" w:rsidRDefault="00795B0D"/>
  </w:endnote>
  <w:endnote w:type="continuationSeparator" w:id="0">
    <w:p w14:paraId="4C931958" w14:textId="77777777" w:rsidR="00795B0D" w:rsidRDefault="00795B0D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42402926" w14:textId="77777777" w:rsidR="00795B0D" w:rsidRDefault="00795B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59E1D" w14:textId="17A0D894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FB34DA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A76665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A76665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03199" w14:textId="01FBE9D3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2019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FB34DA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A76665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A76665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E384F" w14:textId="77777777" w:rsidR="00795B0D" w:rsidRDefault="00795B0D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25330073" w14:textId="77777777" w:rsidR="00795B0D" w:rsidRDefault="00795B0D"/>
  </w:footnote>
  <w:footnote w:type="continuationSeparator" w:id="0">
    <w:p w14:paraId="43757709" w14:textId="77777777" w:rsidR="00795B0D" w:rsidRDefault="00795B0D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0C646066" w14:textId="77777777" w:rsidR="00795B0D" w:rsidRDefault="00795B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404831BE8EDB4CAC8BB320A8F77BB4E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8BA178F" w14:textId="77777777" w:rsidR="00926CB2" w:rsidRDefault="002A2776" w:rsidP="008402F2">
        <w:pPr>
          <w:pStyle w:val="PageHead"/>
        </w:pPr>
        <w:r>
          <w:rPr>
            <w:lang w:val="pt-BR"/>
            <w:rFonts/>
          </w:rPr>
          <w:t xml:space="preserve">Packet Tracer- Implementar EtherChannel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AA3AE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C022ECA" wp14:editId="7AC9E97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C4D47B2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0167576"/>
    <w:multiLevelType w:val="hybridMultilevel"/>
    <w:tmpl w:val="8C58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B88A1A00"/>
    <w:styleLink w:val="BulletList"/>
    <w:lvl w:ilvl="0">
      <w:start w:val="1"/>
      <w:numFmt w:val="bullet"/>
      <w:pStyle w:val="Bulletlevel1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  <w:lvlOverride w:ilvl="0">
      <w:lvl w:ilvl="0">
        <w:start w:val="1"/>
        <w:numFmt w:val="bullet"/>
        <w:pStyle w:val="Bulletlevel1"/>
        <w:lvlText w:val="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</w:rPr>
      </w:lvl>
    </w:lvlOverride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wNjAxMjYwNzcwMTFU0lEKTi0uzszPAykwqgUAd1oAqiwAAAA="/>
  </w:docVars>
  <w:rsids>
    <w:rsidRoot w:val="002955E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2D3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6BE2"/>
    <w:rsid w:val="00107B2B"/>
    <w:rsid w:val="00112AC5"/>
    <w:rsid w:val="001133DD"/>
    <w:rsid w:val="00120CBE"/>
    <w:rsid w:val="00120D74"/>
    <w:rsid w:val="00121BAE"/>
    <w:rsid w:val="00125806"/>
    <w:rsid w:val="001261C4"/>
    <w:rsid w:val="00130A20"/>
    <w:rsid w:val="001314FB"/>
    <w:rsid w:val="001366EC"/>
    <w:rsid w:val="001374BF"/>
    <w:rsid w:val="00140668"/>
    <w:rsid w:val="0014219C"/>
    <w:rsid w:val="001425ED"/>
    <w:rsid w:val="00143450"/>
    <w:rsid w:val="00144997"/>
    <w:rsid w:val="001523C0"/>
    <w:rsid w:val="001535FE"/>
    <w:rsid w:val="00154D03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840"/>
    <w:rsid w:val="00180FBF"/>
    <w:rsid w:val="001813C3"/>
    <w:rsid w:val="00182CF4"/>
    <w:rsid w:val="001833A7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207"/>
    <w:rsid w:val="00242E3A"/>
    <w:rsid w:val="00246492"/>
    <w:rsid w:val="002506CF"/>
    <w:rsid w:val="0025107F"/>
    <w:rsid w:val="00260CD4"/>
    <w:rsid w:val="002639D8"/>
    <w:rsid w:val="00265F77"/>
    <w:rsid w:val="00266C83"/>
    <w:rsid w:val="00267C03"/>
    <w:rsid w:val="00270FCC"/>
    <w:rsid w:val="00271D6A"/>
    <w:rsid w:val="002768DC"/>
    <w:rsid w:val="00294C8F"/>
    <w:rsid w:val="002955E8"/>
    <w:rsid w:val="002A0B2E"/>
    <w:rsid w:val="002A0DC1"/>
    <w:rsid w:val="002A2776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1896"/>
    <w:rsid w:val="00390C38"/>
    <w:rsid w:val="00392748"/>
    <w:rsid w:val="00392C65"/>
    <w:rsid w:val="00392ED5"/>
    <w:rsid w:val="00395E33"/>
    <w:rsid w:val="003978C0"/>
    <w:rsid w:val="003A19DC"/>
    <w:rsid w:val="003A1B45"/>
    <w:rsid w:val="003A220C"/>
    <w:rsid w:val="003B16C4"/>
    <w:rsid w:val="003B256A"/>
    <w:rsid w:val="003B46FC"/>
    <w:rsid w:val="003B5767"/>
    <w:rsid w:val="003B7605"/>
    <w:rsid w:val="003C08AA"/>
    <w:rsid w:val="003C2A7B"/>
    <w:rsid w:val="003C49EF"/>
    <w:rsid w:val="003C5E9E"/>
    <w:rsid w:val="003C6BCA"/>
    <w:rsid w:val="003C7902"/>
    <w:rsid w:val="003D0BFF"/>
    <w:rsid w:val="003D6EF1"/>
    <w:rsid w:val="003E23E9"/>
    <w:rsid w:val="003E5BE5"/>
    <w:rsid w:val="003F18D1"/>
    <w:rsid w:val="003F20EC"/>
    <w:rsid w:val="003F3F01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2D9C"/>
    <w:rsid w:val="004936C2"/>
    <w:rsid w:val="0049379C"/>
    <w:rsid w:val="00497CA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2108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0CC6"/>
    <w:rsid w:val="005E3235"/>
    <w:rsid w:val="005E4176"/>
    <w:rsid w:val="005E4876"/>
    <w:rsid w:val="005E65B5"/>
    <w:rsid w:val="005F0301"/>
    <w:rsid w:val="005F3AE9"/>
    <w:rsid w:val="005F4580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2A1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41C2"/>
    <w:rsid w:val="00695EE2"/>
    <w:rsid w:val="0069660B"/>
    <w:rsid w:val="006A1B33"/>
    <w:rsid w:val="006A48F1"/>
    <w:rsid w:val="006A71A3"/>
    <w:rsid w:val="006B03F2"/>
    <w:rsid w:val="006B0AC4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0850"/>
    <w:rsid w:val="006D1370"/>
    <w:rsid w:val="006D2C28"/>
    <w:rsid w:val="006D3FC1"/>
    <w:rsid w:val="006D7590"/>
    <w:rsid w:val="006E372B"/>
    <w:rsid w:val="006E5FE9"/>
    <w:rsid w:val="006E6581"/>
    <w:rsid w:val="006E6F20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36576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49AF"/>
    <w:rsid w:val="007657F6"/>
    <w:rsid w:val="00765E47"/>
    <w:rsid w:val="0077125A"/>
    <w:rsid w:val="00780AFF"/>
    <w:rsid w:val="0078405B"/>
    <w:rsid w:val="00786F58"/>
    <w:rsid w:val="00787CC1"/>
    <w:rsid w:val="00792F4E"/>
    <w:rsid w:val="0079398D"/>
    <w:rsid w:val="00795B0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37F9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336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483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76B1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402D"/>
    <w:rsid w:val="00AE56C0"/>
    <w:rsid w:val="00AF5232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63A1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0A16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713F"/>
    <w:rsid w:val="00CA2BB2"/>
    <w:rsid w:val="00CA73D5"/>
    <w:rsid w:val="00CB2FC9"/>
    <w:rsid w:val="00CB5068"/>
    <w:rsid w:val="00CB7D2B"/>
    <w:rsid w:val="00CC1056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5C7B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1C0F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149"/>
    <w:rsid w:val="00DC186F"/>
    <w:rsid w:val="00DC252F"/>
    <w:rsid w:val="00DC6050"/>
    <w:rsid w:val="00DC6445"/>
    <w:rsid w:val="00DD0E18"/>
    <w:rsid w:val="00DD35E1"/>
    <w:rsid w:val="00DD43EA"/>
    <w:rsid w:val="00DE63DD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060B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0CCD"/>
    <w:rsid w:val="00E53F99"/>
    <w:rsid w:val="00E56510"/>
    <w:rsid w:val="00E62EA8"/>
    <w:rsid w:val="00E67A6E"/>
    <w:rsid w:val="00E70096"/>
    <w:rsid w:val="00E71B43"/>
    <w:rsid w:val="00E81612"/>
    <w:rsid w:val="00E82BD7"/>
    <w:rsid w:val="00E8325C"/>
    <w:rsid w:val="00E859E3"/>
    <w:rsid w:val="00E87D18"/>
    <w:rsid w:val="00E87D62"/>
    <w:rsid w:val="00E93B13"/>
    <w:rsid w:val="00E97333"/>
    <w:rsid w:val="00EA486E"/>
    <w:rsid w:val="00EA4FA3"/>
    <w:rsid w:val="00EB001B"/>
    <w:rsid w:val="00EB3082"/>
    <w:rsid w:val="00EB6C33"/>
    <w:rsid w:val="00EC38F7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0924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1E50"/>
    <w:rsid w:val="00F4135D"/>
    <w:rsid w:val="00F41F1B"/>
    <w:rsid w:val="00F46BD9"/>
    <w:rsid w:val="00F576A3"/>
    <w:rsid w:val="00F60BE0"/>
    <w:rsid w:val="00F6280E"/>
    <w:rsid w:val="00F638C3"/>
    <w:rsid w:val="00F7050A"/>
    <w:rsid w:val="00F75533"/>
    <w:rsid w:val="00F8036D"/>
    <w:rsid w:val="00F809DC"/>
    <w:rsid w:val="00F813AB"/>
    <w:rsid w:val="00F86EB0"/>
    <w:rsid w:val="00FA154B"/>
    <w:rsid w:val="00FA3811"/>
    <w:rsid w:val="00FA3B9F"/>
    <w:rsid w:val="00FA3F06"/>
    <w:rsid w:val="00FA4A26"/>
    <w:rsid w:val="00FA637E"/>
    <w:rsid w:val="00FA7084"/>
    <w:rsid w:val="00FA7BEF"/>
    <w:rsid w:val="00FB1105"/>
    <w:rsid w:val="00FB1929"/>
    <w:rsid w:val="00FB34DA"/>
    <w:rsid w:val="00FB5FD9"/>
    <w:rsid w:val="00FB6713"/>
    <w:rsid w:val="00FB7D7D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DEECA"/>
  <w15:docId w15:val="{A8A91383-CAF1-4D04-A042-C96D7A12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71C0F"/>
    <w:pPr>
      <w:keepNext/>
      <w:keepLines/>
      <w:numPr>
        <w:numId w:val="5"/>
      </w:numPr>
      <w:spacing w:before="12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71C0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EC38F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4831BE8EDB4CAC8BB320A8F77BB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7C80E-72CA-4FBE-9B11-90EADA1AACA4}"/>
      </w:docPartPr>
      <w:docPartBody>
        <w:p w:rsidR="003B209E" w:rsidRDefault="00C87B0F">
          <w:pPr>
            <w:pStyle w:val="404831BE8EDB4CAC8BB320A8F77BB4E0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B0F"/>
    <w:rsid w:val="000C5EEA"/>
    <w:rsid w:val="0033617F"/>
    <w:rsid w:val="003B209E"/>
    <w:rsid w:val="007718AA"/>
    <w:rsid w:val="00772A51"/>
    <w:rsid w:val="007D1606"/>
    <w:rsid w:val="00C87B0F"/>
    <w:rsid w:val="00D71304"/>
    <w:rsid w:val="00DD2D84"/>
    <w:rsid w:val="00FF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04831BE8EDB4CAC8BB320A8F77BB4E0">
    <w:name w:val="404831BE8EDB4CAC8BB320A8F77BB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0AA2A0-56A9-4EE8-95EA-383FBDB1C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4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EtherChannel</vt:lpstr>
    </vt:vector>
  </TitlesOfParts>
  <Company>Cisco Systems, Inc.</Company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Tracer- Implementar EtherChannel</dc:title>
  <dc:creator>Martin Benson</dc:creator>
  <dc:description>2019</dc:description>
  <cp:lastModifiedBy>Suk-Yi Pennock -X (spennock - UNICON INC at Cisco)</cp:lastModifiedBy>
  <cp:revision>7</cp:revision>
  <cp:lastPrinted>2019-10-29T11:06:00Z</cp:lastPrinted>
  <dcterms:created xsi:type="dcterms:W3CDTF">2019-10-29T11:05:00Z</dcterms:created>
  <dcterms:modified xsi:type="dcterms:W3CDTF">2019-12-02T13:57:00Z</dcterms:modified>
</cp:coreProperties>
</file>