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A1A1A"/>
          <w:sz w:val="52"/>
          <w:szCs w:val="52"/>
        </w:rPr>
        <w:t xml:space="preserve">Loop Landing Page</w:t>
      </w:r>
    </w:p>
    <w:p>
      <w:pPr>
        <w:pBdr>
          <w:bottom w:val="single" w:color="B4551E" w:sz="6" w:space="6"/>
        </w:pBdr>
        <w:spacing w:after="300"/>
      </w:pPr>
      <w:r>
        <w:rPr>
          <w:i/>
          <w:iCs/>
          <w:color w:val="555555"/>
          <w:sz w:val="22"/>
          <w:szCs w:val="22"/>
        </w:rPr>
        <w:t xml:space="preserve">Recruiter-readiness action plan for acme-agentic-cal.fly.dev · Shawn Liu · July 2026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Current-state assessment</w:t>
      </w:r>
    </w:p>
    <w:p>
      <w:pPr>
        <w:spacing w:after="140" w:line="276"/>
      </w:pPr>
      <w:r>
        <w:rPr>
          <w:sz w:val="22"/>
          <w:szCs w:val="22"/>
        </w:rPr>
        <w:t xml:space="preserve">As a </w:t>
      </w:r>
      <w:r>
        <w:rPr>
          <w:b/>
          <w:bCs/>
          <w:sz w:val="22"/>
          <w:szCs w:val="22"/>
        </w:rPr>
        <w:t xml:space="preserve">user-facing</w:t>
      </w:r>
      <w:r>
        <w:rPr>
          <w:sz w:val="22"/>
          <w:szCs w:val="22"/>
        </w:rPr>
        <w:t xml:space="preserve"> page, the site is already strong: the propose/review/approve narrative is clear, the “safe by construction” section is genuinely differentiated, and the “What Loop is not” honesty is memorable. No major changes needed for that audience.</w:t>
      </w:r>
    </w:p>
    <w:p>
      <w:pPr>
        <w:spacing w:after="140" w:line="276"/>
      </w:pPr>
      <w:r>
        <w:rPr>
          <w:sz w:val="22"/>
          <w:szCs w:val="22"/>
        </w:rPr>
        <w:t xml:space="preserve">But the page has a second audience — recruiters and founders — and for them it currently fails in one specific way: </w:t>
      </w:r>
      <w:r>
        <w:rPr>
          <w:b/>
          <w:bCs/>
          <w:sz w:val="22"/>
          <w:szCs w:val="22"/>
        </w:rPr>
        <w:t xml:space="preserve">they can't get in, and they can't find the engineering underneath.</w:t>
      </w:r>
      <w:r>
        <w:rPr>
          <w:sz w:val="22"/>
          <w:szCs w:val="22"/>
        </w:rPr>
        <w:t xml:space="preserve"> Sign-in is allowlisted, so every claim on the page is unverifiable to a visitor; there is no demo, no architecture surface, no link to the author, and the URL itself reads as a scaffold placeholder. The page makes promises the visitor has no way to check.</w:t>
      </w:r>
    </w:p>
    <w:p>
      <w:pPr>
        <w:pBdr>
          <w:left w:val="single" w:color="B4551E" w:sz="18" w:space="12"/>
        </w:pBdr>
        <w:spacing w:after="200" w:before="120"/>
        <w:ind w:left="480" w:right="480"/>
      </w:pPr>
      <w:r>
        <w:rPr>
          <w:i/>
          <w:iCs/>
          <w:color w:val="333333"/>
          <w:sz w:val="23"/>
          <w:szCs w:val="23"/>
        </w:rPr>
        <w:t xml:space="preserve">Target: a recruiter who lands on this URL cold should, within 90 seconds, (1) see the product working, (2) find the engineering story, and (3) find Shawn.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Fixes, in priority order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1. A 60–90 second demo video (highest leverage)</w:t>
      </w:r>
    </w:p>
    <w:p>
      <w:pPr>
        <w:spacing w:after="140" w:line="276"/>
      </w:pPr>
      <w:r>
        <w:rPr>
          <w:sz w:val="22"/>
          <w:szCs w:val="22"/>
        </w:rPr>
        <w:t xml:space="preserve">The only way a visitor experiences the product through an allowlist. Embed it above the fold, next to or replacing the static mock. Screen recording + voiceover or captions; no production polish needed — clarity and pace matter, aesthetics don't. Suggested beat sheet: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0:00–0:10 — Hook. </w:t>
      </w:r>
      <w:r>
        <w:rPr>
          <w:sz w:val="22"/>
          <w:szCs w:val="22"/>
        </w:rPr>
        <w:t xml:space="preserve">“Loop turns a career goal into a study plan on your real calendar — and never touches your calendar without your approval.”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0:10–0:25 — Setup. </w:t>
      </w:r>
      <w:r>
        <w:rPr>
          <w:sz w:val="22"/>
          <w:szCs w:val="22"/>
        </w:rPr>
        <w:t xml:space="preserve">Enter a goal and availability; show the syllabus/plan proposal appearing.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0:25–0:45 — Review &amp; approve. </w:t>
      </w:r>
      <w:r>
        <w:rPr>
          <w:sz w:val="22"/>
          <w:szCs w:val="22"/>
        </w:rPr>
        <w:t xml:space="preserve">The core interaction: review the proposed schedule, approve, watch validated events land on Google Calendar.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0:45–1:05 — The differentiator. </w:t>
      </w:r>
      <w:r>
        <w:rPr>
          <w:sz w:val="22"/>
          <w:szCs w:val="22"/>
        </w:rPr>
        <w:t xml:space="preserve">Show a failure handled well: the 3-option rollback/retry recovery flow, or a drift-triggered replan. This is the moment engineers lean in.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1:05–1:20 — Close on the thesis. </w:t>
      </w:r>
      <w:r>
        <w:rPr>
          <w:sz w:val="22"/>
          <w:szCs w:val="22"/>
        </w:rPr>
        <w:t xml:space="preserve">“LLMs propose. Deterministic infrastructure disposes.” One line on tests/safety, then the URL.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2. A “How it's built” page</w:t>
      </w:r>
    </w:p>
    <w:p>
      <w:pPr>
        <w:spacing w:after="140" w:line="276"/>
      </w:pPr>
      <w:r>
        <w:rPr>
          <w:sz w:val="22"/>
          <w:szCs w:val="22"/>
        </w:rPr>
        <w:t xml:space="preserve">Linked prominently from the landing page (nav + footer). This is where the invisible numbers become visible, and where the two planned engineering blog posts live or are linked. Content outline: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The thesis and the propose/dispose boundary, with a single architecture diagram (four LLM nodes vs. everything deterministic).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Safety architecture: approval-ID-gated writes, dry-run/verify/rollback on every side effect, typed reason codes, immutable plan versions, clock/ID injection.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The eval harness: live capture → committed recordings → deterministic re-grading gating CI; deterministic graders + Tier-2 LLM judge; prompt versioning with pinned byte hashes.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The numbers, stated plainly: ~2,700 backend + 81 frontend tests, 22 written axioms, 8 ADRs, per-axiom cost caps, ~$1.70/mo expected spend.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Links: blog posts, repo (if public), and the portfolio site.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3. A footer identity link</w:t>
      </w:r>
    </w:p>
    <w:p>
      <w:pPr>
        <w:spacing w:after="140" w:line="276"/>
      </w:pPr>
      <w:r>
        <w:rPr>
          <w:sz w:val="22"/>
          <w:szCs w:val="22"/>
        </w:rPr>
        <w:t xml:space="preserve">The page is currently anonymous. Add “Built by Shawn Liu” → portfolio + GitHub in the footer, and ideally a one-line byline near the “How it's built” link. A founder who likes the product must have a one-click path to the person.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4. Kill the placeholder subdomain</w:t>
      </w:r>
    </w:p>
    <w:p>
      <w:pPr>
        <w:spacing w:after="140" w:line="276"/>
      </w:pPr>
      <w:r>
        <w:rPr>
          <w:sz w:val="22"/>
          <w:szCs w:val="22"/>
        </w:rPr>
        <w:t xml:space="preserve">“acme-agentic-cal” reads as template scaffolding and quietly undercuts everything else on the page — and this URL will sit on a resume. Buy a ~$10 domain (whatever variant of loop is free: looploop.dev, useloop.app, getloop.sh…) or at minimum rename the Fly app. Point the old URL at the new one so nothing breaks.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5. Optional: read-only demo mode</w:t>
      </w:r>
    </w:p>
    <w:p>
      <w:pPr>
        <w:spacing w:after="140" w:line="276"/>
      </w:pPr>
      <w:r>
        <w:rPr>
          <w:sz w:val="22"/>
          <w:szCs w:val="22"/>
        </w:rPr>
        <w:t xml:space="preserve">A seeded fake account behind a “Try the demo” button, with calendar writes stubbed, lets visitors click through the review/approve flow themselves. Worth doing only after 1–4; the video covers most of the value at a fraction of the effort.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Priority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1700"/>
        <w:gridCol w:w="1960"/>
      </w:tblGrid>
      <w:tr>
        <w:trPr>
          <w:tblHeader/>
        </w:trPr>
        <w:tc>
          <w:tcPr>
            <w:tcW w:type="dxa" w:w="400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Fix</w:t>
            </w:r>
          </w:p>
        </w:tc>
        <w:tc>
          <w:tcPr>
            <w:tcW w:type="dxa" w:w="170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170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Effort</w:t>
            </w:r>
          </w:p>
        </w:tc>
        <w:tc>
          <w:tcPr>
            <w:tcW w:type="dxa" w:w="196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video embedded on landing page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Very high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 day</w:t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40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“How it's built” page + numbers</w:t>
            </w:r>
          </w:p>
        </w:tc>
        <w:tc>
          <w:tcPr>
            <w:tcW w:type="dxa" w:w="17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Very high</w:t>
            </w:r>
          </w:p>
        </w:tc>
        <w:tc>
          <w:tcPr>
            <w:tcW w:type="dxa" w:w="17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9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Footer identity link / byline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~30 min</w:t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0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 domain (drop “acme”)</w:t>
            </w:r>
          </w:p>
        </w:tc>
        <w:tc>
          <w:tcPr>
            <w:tcW w:type="dxa" w:w="17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 hour</w:t>
            </w:r>
          </w:p>
        </w:tc>
        <w:tc>
          <w:tcPr>
            <w:tcW w:type="dxa" w:w="19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Read-only demo sandbox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2–4 days</w:t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After the above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Success criteria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The 90-second test passes: product seen working, engineering found, author found — with no sign-in.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The resume/portfolio can link a URL that looks intentional, not scaffolded.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2"/>
          <w:szCs w:val="22"/>
        </w:rPr>
        <w:t xml:space="preserve">Every headline claim on the landing page (“safe by construction,” approvals, rollback) is backed by something a visitor can watch or read, not just asserted.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2026-07-05T06:34:39.037Z</dcterms:created>
  <dcterms:modified xsi:type="dcterms:W3CDTF">2026-07-05T06:34:39.037Z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