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plan for routed and recurrent Transformer structures</w:t>
      </w:r>
    </w:p>
    <w:p>
      <w:r>
        <w:t>Small scale reproductions of SUT and Mixture of Modules with controlled generalization experiments</w:t>
      </w:r>
    </w:p>
    <w:p>
      <w:r>
        <w:t>Prepared for discussion between the researcher and supervisor</w:t>
      </w:r>
    </w:p>
    <w:p>
      <w:r>
        <w:t>16 October 2026 • Version 1 • Proposed experimental protocol</w:t>
      </w:r>
    </w:p>
    <w:p>
      <w:pPr>
        <w:pStyle w:val="Heading2"/>
      </w:pPr>
      <w:r>
        <w:t>Purpose and recommendation</w:t>
      </w:r>
    </w:p>
    <w:p>
      <w:r>
        <w:t>We will investigate when routing and repeated computation improve prediction, generalization, and computational efficiency. The immediate priority is to build small versions of Sparse Universal Transformer (SUT) and Mixture of Modules (MoM) from their authors’ code, preserving their computational units and training strategies. We will compare them with dense Transformers, Switch style FFN routing, Universal Transformers, MoA, and MoH. Only after reproducible comparisons will we introduce a new structural modification.</w:t>
      </w:r>
    </w:p>
    <w:p>
      <w:r>
        <w:t>Logical inference is the primary task because its operations and structural dependencies are known. The existing state transition prediction task remains a complementary test of transfer beyond symbolic expressions. The aim is not to select a dataset that guarantees an MoE advantage: a single expert or dense model winning is an informative result.</w:t>
      </w:r>
    </w:p>
    <w:p>
      <w:r>
        <w:t>The study has two complementary forms. Reference implementations preserve the original architectures and method specific training. Controlled variants use a common task interface and backbone conventions to isolate individual mechanisms. Their results must remain separately labeled; an adapted classifier is not an exact reproduction of an encoder decoder or language modeling experiment.</w:t>
      </w:r>
    </w:p>
    <w:p>
      <w:pPr>
        <w:pStyle w:val="Heading2"/>
      </w:pPr>
      <w:r>
        <w:t>Decisions from the discussion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589"/>
      </w:tblGrid>
      <w:tr>
        <w:trPr>
          <w:cantSplit/>
          <w:tblHeader/>
        </w:trPr>
        <w:tc>
          <w:tcPr>
            <w:tcW w:type="dxa" w:w="2160"/>
            <w:vAlign w:val="center"/>
            <w:shd w:fill="DCE6EF"/>
            <w:tcMar>
              <w:top w:w="70" w:type="dxa"/>
              <w:bottom w:w="70" w:type="dxa"/>
              <w:left w:w="100" w:type="dxa"/>
              <w:right w:w="100" w:type="dxa"/>
            </w:tcMar>
          </w:tcPr>
          <w:p>
            <w:pPr>
              <w:spacing w:after="0" w:line="245" w:lineRule="auto"/>
            </w:pPr>
            <w:r>
              <w:rPr>
                <w:b/>
                <w:sz w:val="19"/>
              </w:rPr>
              <w:t>Status</w:t>
            </w:r>
          </w:p>
        </w:tc>
        <w:tc>
          <w:tcPr>
            <w:tcW w:type="dxa" w:w="7589"/>
            <w:vAlign w:val="center"/>
            <w:shd w:fill="DCE6EF"/>
            <w:tcMar>
              <w:top w:w="70" w:type="dxa"/>
              <w:bottom w:w="70" w:type="dxa"/>
              <w:left w:w="100" w:type="dxa"/>
              <w:right w:w="100" w:type="dxa"/>
            </w:tcMar>
          </w:tcPr>
          <w:p>
            <w:pPr>
              <w:spacing w:after="0" w:line="245" w:lineRule="auto"/>
            </w:pPr>
            <w:r>
              <w:rPr>
                <w:b/>
                <w:sz w:val="19"/>
              </w:rPr>
              <w:t>Decision</w:t>
            </w:r>
          </w:p>
        </w:tc>
      </w:tr>
      <w:tr>
        <w:trPr>
          <w:cantSplit/>
        </w:trPr>
        <w:tc>
          <w:tcPr>
            <w:tcW w:type="dxa" w:w="2160"/>
            <w:vAlign w:val="center"/>
            <w:shd w:fill="FFFFFF"/>
            <w:tcMar>
              <w:top w:w="70" w:type="dxa"/>
              <w:bottom w:w="70" w:type="dxa"/>
              <w:left w:w="100" w:type="dxa"/>
              <w:right w:w="100" w:type="dxa"/>
            </w:tcMar>
          </w:tcPr>
          <w:p>
            <w:pPr>
              <w:spacing w:after="0" w:line="245" w:lineRule="auto"/>
            </w:pPr>
            <w:r>
              <w:rPr>
                <w:b w:val="0"/>
                <w:sz w:val="19"/>
              </w:rPr>
              <w:t>Agreed priority</w:t>
            </w:r>
          </w:p>
        </w:tc>
        <w:tc>
          <w:tcPr>
            <w:tcW w:type="dxa" w:w="7589"/>
            <w:vAlign w:val="center"/>
            <w:shd w:fill="FFFFFF"/>
            <w:tcMar>
              <w:top w:w="70" w:type="dxa"/>
              <w:bottom w:w="70" w:type="dxa"/>
              <w:left w:w="100" w:type="dxa"/>
              <w:right w:w="100" w:type="dxa"/>
            </w:tcMar>
          </w:tcPr>
          <w:p>
            <w:pPr>
              <w:spacing w:after="0" w:line="245" w:lineRule="auto"/>
            </w:pPr>
            <w:r>
              <w:rPr>
                <w:b w:val="0"/>
                <w:sz w:val="19"/>
              </w:rPr>
              <w:t>Reproduce SUT and MoM mechanisms from original code before inventing replacements.</w:t>
            </w:r>
          </w:p>
        </w:tc>
      </w:tr>
      <w:tr>
        <w:trPr>
          <w:cantSplit/>
        </w:trPr>
        <w:tc>
          <w:tcPr>
            <w:tcW w:type="dxa" w:w="2160"/>
            <w:vAlign w:val="center"/>
            <w:shd w:fill="F5F7F9"/>
            <w:tcMar>
              <w:top w:w="70" w:type="dxa"/>
              <w:bottom w:w="70" w:type="dxa"/>
              <w:left w:w="100" w:type="dxa"/>
              <w:right w:w="100" w:type="dxa"/>
            </w:tcMar>
          </w:tcPr>
          <w:p>
            <w:pPr>
              <w:spacing w:after="0" w:line="245" w:lineRule="auto"/>
            </w:pPr>
            <w:r>
              <w:rPr>
                <w:b w:val="0"/>
                <w:sz w:val="19"/>
              </w:rPr>
              <w:t>Agreed scope</w:t>
            </w:r>
          </w:p>
        </w:tc>
        <w:tc>
          <w:tcPr>
            <w:tcW w:type="dxa" w:w="7589"/>
            <w:vAlign w:val="center"/>
            <w:shd w:fill="F5F7F9"/>
            <w:tcMar>
              <w:top w:w="70" w:type="dxa"/>
              <w:bottom w:w="70" w:type="dxa"/>
              <w:left w:w="100" w:type="dxa"/>
              <w:right w:w="100" w:type="dxa"/>
            </w:tcMar>
          </w:tcPr>
          <w:p>
            <w:pPr>
              <w:spacing w:after="0" w:line="245" w:lineRule="auto"/>
            </w:pPr>
            <w:r>
              <w:rPr>
                <w:b w:val="0"/>
                <w:sz w:val="19"/>
              </w:rPr>
              <w:t>Compare routing at the FFN, head, multi-head expert, and module levels; include recurrence and halting.</w:t>
            </w:r>
          </w:p>
        </w:tc>
      </w:tr>
      <w:tr>
        <w:trPr>
          <w:cantSplit/>
        </w:trPr>
        <w:tc>
          <w:tcPr>
            <w:tcW w:type="dxa" w:w="2160"/>
            <w:vAlign w:val="center"/>
            <w:shd w:fill="FFFFFF"/>
            <w:tcMar>
              <w:top w:w="70" w:type="dxa"/>
              <w:bottom w:w="70" w:type="dxa"/>
              <w:left w:w="100" w:type="dxa"/>
              <w:right w:w="100" w:type="dxa"/>
            </w:tcMar>
          </w:tcPr>
          <w:p>
            <w:pPr>
              <w:spacing w:after="0" w:line="245" w:lineRule="auto"/>
            </w:pPr>
            <w:r>
              <w:rPr>
                <w:b w:val="0"/>
                <w:sz w:val="19"/>
              </w:rPr>
              <w:t>Agreed datasets</w:t>
            </w:r>
          </w:p>
        </w:tc>
        <w:tc>
          <w:tcPr>
            <w:tcW w:type="dxa" w:w="7589"/>
            <w:vAlign w:val="center"/>
            <w:shd w:fill="FFFFFF"/>
            <w:tcMar>
              <w:top w:w="70" w:type="dxa"/>
              <w:bottom w:w="70" w:type="dxa"/>
              <w:left w:w="100" w:type="dxa"/>
              <w:right w:w="100" w:type="dxa"/>
            </w:tcMar>
          </w:tcPr>
          <w:p>
            <w:pPr>
              <w:spacing w:after="0" w:line="245" w:lineRule="auto"/>
            </w:pPr>
            <w:r>
              <w:rPr>
                <w:b w:val="0"/>
                <w:sz w:val="19"/>
              </w:rPr>
              <w:t>Start with logical inference and retain synthetic state transition prediction.</w:t>
            </w:r>
          </w:p>
        </w:tc>
      </w:tr>
      <w:tr>
        <w:trPr>
          <w:cantSplit/>
        </w:trPr>
        <w:tc>
          <w:tcPr>
            <w:tcW w:type="dxa" w:w="2160"/>
            <w:vAlign w:val="center"/>
            <w:shd w:fill="F5F7F9"/>
            <w:tcMar>
              <w:top w:w="70" w:type="dxa"/>
              <w:bottom w:w="70" w:type="dxa"/>
              <w:left w:w="100" w:type="dxa"/>
              <w:right w:w="100" w:type="dxa"/>
            </w:tcMar>
          </w:tcPr>
          <w:p>
            <w:pPr>
              <w:spacing w:after="0" w:line="245" w:lineRule="auto"/>
            </w:pPr>
            <w:r>
              <w:rPr>
                <w:b w:val="0"/>
                <w:sz w:val="19"/>
              </w:rPr>
              <w:t>Agreed direction</w:t>
            </w:r>
          </w:p>
        </w:tc>
        <w:tc>
          <w:tcPr>
            <w:tcW w:type="dxa" w:w="7589"/>
            <w:vAlign w:val="center"/>
            <w:shd w:fill="F5F7F9"/>
            <w:tcMar>
              <w:top w:w="70" w:type="dxa"/>
              <w:bottom w:w="70" w:type="dxa"/>
              <w:left w:w="100" w:type="dxa"/>
              <w:right w:w="100" w:type="dxa"/>
            </w:tcMar>
          </w:tcPr>
          <w:p>
            <w:pPr>
              <w:spacing w:after="0" w:line="245" w:lineRule="auto"/>
            </w:pPr>
            <w:r>
              <w:rPr>
                <w:b w:val="0"/>
                <w:sz w:val="19"/>
              </w:rPr>
              <w:t>Investigate pretrained initialization and consider new structures after baseline evidence.</w:t>
            </w:r>
          </w:p>
        </w:tc>
      </w:tr>
      <w:tr>
        <w:trPr>
          <w:cantSplit/>
        </w:trPr>
        <w:tc>
          <w:tcPr>
            <w:tcW w:type="dxa" w:w="2160"/>
            <w:vAlign w:val="center"/>
            <w:shd w:fill="FFFFFF"/>
            <w:tcMar>
              <w:top w:w="70" w:type="dxa"/>
              <w:bottom w:w="70" w:type="dxa"/>
              <w:left w:w="100" w:type="dxa"/>
              <w:right w:w="100" w:type="dxa"/>
            </w:tcMar>
          </w:tcPr>
          <w:p>
            <w:pPr>
              <w:spacing w:after="0" w:line="245" w:lineRule="auto"/>
            </w:pPr>
            <w:r>
              <w:rPr>
                <w:b w:val="0"/>
                <w:sz w:val="19"/>
              </w:rPr>
              <w:t>Proposed starting budget</w:t>
            </w:r>
          </w:p>
        </w:tc>
        <w:tc>
          <w:tcPr>
            <w:tcW w:type="dxa" w:w="7589"/>
            <w:vAlign w:val="center"/>
            <w:shd w:fill="FFFFFF"/>
            <w:tcMar>
              <w:top w:w="70" w:type="dxa"/>
              <w:bottom w:w="70" w:type="dxa"/>
              <w:left w:w="100" w:type="dxa"/>
              <w:right w:w="100" w:type="dxa"/>
            </w:tcMar>
          </w:tcPr>
          <w:p>
            <w:pPr>
              <w:spacing w:after="0" w:line="245" w:lineRule="auto"/>
            </w:pPr>
            <w:r>
              <w:rPr>
                <w:b w:val="0"/>
                <w:sz w:val="19"/>
              </w:rPr>
              <w:t>Width 128 and at most six block applications in the common-backbone study.</w:t>
            </w:r>
          </w:p>
        </w:tc>
      </w:tr>
      <w:tr>
        <w:trPr>
          <w:cantSplit/>
        </w:trPr>
        <w:tc>
          <w:tcPr>
            <w:tcW w:type="dxa" w:w="2160"/>
            <w:vAlign w:val="center"/>
            <w:shd w:fill="F5F7F9"/>
            <w:tcMar>
              <w:top w:w="70" w:type="dxa"/>
              <w:bottom w:w="70" w:type="dxa"/>
              <w:left w:w="100" w:type="dxa"/>
              <w:right w:w="100" w:type="dxa"/>
            </w:tcMar>
          </w:tcPr>
          <w:p>
            <w:pPr>
              <w:spacing w:after="0" w:line="245" w:lineRule="auto"/>
            </w:pPr>
            <w:r>
              <w:rPr>
                <w:b w:val="0"/>
                <w:sz w:val="19"/>
              </w:rPr>
              <w:t>Still to resolve</w:t>
            </w:r>
          </w:p>
        </w:tc>
        <w:tc>
          <w:tcPr>
            <w:tcW w:type="dxa" w:w="7589"/>
            <w:vAlign w:val="center"/>
            <w:shd w:fill="F5F7F9"/>
            <w:tcMar>
              <w:top w:w="70" w:type="dxa"/>
              <w:bottom w:w="70" w:type="dxa"/>
              <w:left w:w="100" w:type="dxa"/>
              <w:right w:w="100" w:type="dxa"/>
            </w:tcMar>
          </w:tcPr>
          <w:p>
            <w:pPr>
              <w:spacing w:after="0" w:line="245" w:lineRule="auto"/>
            </w:pPr>
            <w:r>
              <w:rPr>
                <w:b w:val="0"/>
                <w:sz w:val="19"/>
              </w:rPr>
              <w:t>Available GPU memory, wall time, reference versus adapted task interface, and final run budget.</w:t>
            </w:r>
          </w:p>
        </w:tc>
      </w:tr>
    </w:tbl>
    <w:p>
      <w:pPr>
        <w:spacing w:after="20"/>
      </w:pPr>
    </w:p>
    <w:p>
      <w:pPr>
        <w:pStyle w:val="Heading2"/>
      </w:pPr>
      <w:r>
        <w:t>What this plan will deliver</w:t>
      </w:r>
    </w:p>
    <w:p>
      <w:r>
        <w:t>A versioned source audit, verified small models, leakage audited datasets, numbered notebooks, paired multiseed comparisons, and one focused follow-up experiment. Success means a trustworthy answer about structural trade-offs, including negative results, rather than a predetermined winner or novelty claim.</w:t>
      </w:r>
    </w:p>
    <w:p>
      <w:r>
        <w:br w:type="page"/>
      </w:r>
    </w:p>
    <w:p>
      <w:pPr>
        <w:pStyle w:val="Heading1"/>
      </w:pPr>
      <w:r>
        <w:t>1 Background and evidence motivating the study</w:t>
      </w:r>
    </w:p>
    <w:p>
      <w:r>
        <w:t>The central idea developed through our reading is that Transformer structures vary along several compatible dimensions: what unit is selected, whether parameters are reused across depth, how information is combined, and whether computation can stop. MHA is a component, not a competing model family; a model can combine head routing with FFN routing and recurrence. Institutional affiliations establish provenance, but experimental controls and evidence determine the strength of a claim.</w:t>
      </w:r>
    </w:p>
    <w:p>
      <w:pPr>
        <w:pStyle w:val="Heading2"/>
      </w:pPr>
      <w:r>
        <w:t>What the papers establish</w:t>
      </w:r>
    </w:p>
    <w:p>
      <w:r>
        <w:t>UT repeatedly applies a shared Transformer block and optionally adds per-token adaptive computation. Parameter sharing and halting are separate choices: a fixed-depth UT is already recurrent. [1]</w:t>
      </w:r>
    </w:p>
    <w:p>
      <w:r>
        <w:t>SUT combines shared-depth computation with attention experts containing multiple heads, FFN experts, a routing auxiliary objective, and stick-breaking halting. In its translation ablation, replacing MoMHA with MoA changes BLEU from 29.2 to 28.7. This supports grouped heads in that setting, not universal superiority. Its CFQ search selects one expert in each pool, so those results support the recurrent special case rather than the necessity of many experts. SUT big reports 29.4 BLEU at 787M MACs against 29.6 and 3707M for its dense UT big baseline. These are reported arithmetic estimates, not measured speedup. [2]</w:t>
      </w:r>
    </w:p>
    <w:p>
      <w:r>
        <w:t>MoM motivates reusable pools of attention and FFN modules, selected over assembly steps. Its method also includes history-aware routing and two-phase initialization. These details must be preserved rather than replaced by an ordinary MoE wrapper. [3]</w:t>
      </w:r>
    </w:p>
    <w:p>
      <w:pPr>
        <w:pStyle w:val="Heading2"/>
      </w:pPr>
      <w:r>
        <w:t>Interpretation limits from the reading</w:t>
      </w:r>
    </w:p>
    <w:p>
      <w:r>
        <w:t>Figure 2 in SUT illustrates a withheld logical composition. It is not a measured attention matrix or a demonstration that particular layers implement NOT or AND. Logical inference predicts one relation label; CFQ predicts a complete query. Their accuracy percentages are not directly comparable. Logical splits A/B/C are progressively broader exclusions; CFQ MCD1/2/3 are different splits, not the same three difficulty levels. [2, 7, 8]</w:t>
      </w:r>
    </w:p>
    <w:p>
      <w:pPr>
        <w:pStyle w:val="Heading2"/>
      </w:pPr>
      <w:r>
        <w:t>Existing project evidence</w:t>
      </w:r>
    </w:p>
    <w:p>
      <w:r>
        <w:t>The saved three-seed attention study reports a small mean advantage of MoH-inspired routing over a dense attention baseline, but not over the fixed random routing control. The combined attention and FFN routing model has a lower average MSE than several controls, yet seed differences and capacity matching limit causal attribution. The current attention implementation computes all heads densely. These historical observations motivate stronger controls; they do not establish sparse runtime savings or a mechanism. Revalidate source hashes and rerun affected comparison families before reusing cached results. [12]</w:t>
      </w:r>
    </w:p>
    <w:p>
      <w:r>
        <w:br w:type="page"/>
      </w:r>
    </w:p>
    <w:p>
      <w:pPr>
        <w:pStyle w:val="Heading1"/>
      </w:pPr>
      <w:r>
        <w:t>2 Research questions and falsifiable expectations</w:t>
      </w:r>
    </w:p>
    <w:p>
      <w:r>
        <w:t>We will separate a performance question from a mechanism question. The first asks whether a structure improves a prespecified metric at an explicit resource budget. The second asks which component explains that difference. A routing visualization alone cannot answer either question.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3773"/>
      </w:tblGrid>
      <w:tr>
        <w:trPr>
          <w:cantSplit/>
          <w:tblHeader/>
        </w:trPr>
        <w:tc>
          <w:tcPr>
            <w:tcW w:type="dxa" w:w="2376"/>
            <w:vAlign w:val="center"/>
            <w:shd w:fill="DCE6EF"/>
            <w:tcMar>
              <w:top w:w="70" w:type="dxa"/>
              <w:bottom w:w="70" w:type="dxa"/>
              <w:left w:w="100" w:type="dxa"/>
              <w:right w:w="100" w:type="dxa"/>
            </w:tcMar>
          </w:tcPr>
          <w:p>
            <w:pPr>
              <w:spacing w:after="0" w:line="245" w:lineRule="auto"/>
            </w:pPr>
            <w:r>
              <w:rPr>
                <w:b/>
                <w:sz w:val="19"/>
              </w:rPr>
              <w:t>Question</w:t>
            </w:r>
          </w:p>
        </w:tc>
        <w:tc>
          <w:tcPr>
            <w:tcW w:type="dxa" w:w="3600"/>
            <w:vAlign w:val="center"/>
            <w:shd w:fill="DCE6EF"/>
            <w:tcMar>
              <w:top w:w="70" w:type="dxa"/>
              <w:bottom w:w="70" w:type="dxa"/>
              <w:left w:w="100" w:type="dxa"/>
              <w:right w:w="100" w:type="dxa"/>
            </w:tcMar>
          </w:tcPr>
          <w:p>
            <w:pPr>
              <w:spacing w:after="0" w:line="245" w:lineRule="auto"/>
            </w:pPr>
            <w:r>
              <w:rPr>
                <w:b/>
                <w:sz w:val="19"/>
              </w:rPr>
              <w:t>Main comparison</w:t>
            </w:r>
          </w:p>
        </w:tc>
        <w:tc>
          <w:tcPr>
            <w:tcW w:type="dxa" w:w="3773"/>
            <w:vAlign w:val="center"/>
            <w:shd w:fill="DCE6EF"/>
            <w:tcMar>
              <w:top w:w="70" w:type="dxa"/>
              <w:bottom w:w="70" w:type="dxa"/>
              <w:left w:w="100" w:type="dxa"/>
              <w:right w:w="100" w:type="dxa"/>
            </w:tcMar>
          </w:tcPr>
          <w:p>
            <w:pPr>
              <w:spacing w:after="0" w:line="245" w:lineRule="auto"/>
            </w:pPr>
            <w:r>
              <w:rPr>
                <w:b/>
                <w:sz w:val="19"/>
              </w:rPr>
              <w:t>Evidence against the expectation</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Does recurrence help structural generalization</w:t>
            </w:r>
          </w:p>
        </w:tc>
        <w:tc>
          <w:tcPr>
            <w:tcW w:type="dxa" w:w="3600"/>
            <w:vAlign w:val="center"/>
            <w:shd w:fill="FFFFFF"/>
            <w:tcMar>
              <w:top w:w="70" w:type="dxa"/>
              <w:bottom w:w="70" w:type="dxa"/>
              <w:left w:w="100" w:type="dxa"/>
              <w:right w:w="100" w:type="dxa"/>
            </w:tcMar>
          </w:tcPr>
          <w:p>
            <w:pPr>
              <w:spacing w:after="0" w:line="245" w:lineRule="auto"/>
            </w:pPr>
            <w:r>
              <w:rPr>
                <w:b w:val="0"/>
                <w:sz w:val="19"/>
              </w:rPr>
              <w:t>Dense untied blocks versus fixed-depth UT</w:t>
            </w:r>
          </w:p>
        </w:tc>
        <w:tc>
          <w:tcPr>
            <w:tcW w:type="dxa" w:w="3773"/>
            <w:vAlign w:val="center"/>
            <w:shd w:fill="FFFFFF"/>
            <w:tcMar>
              <w:top w:w="70" w:type="dxa"/>
              <w:bottom w:w="70" w:type="dxa"/>
              <w:left w:w="100" w:type="dxa"/>
              <w:right w:w="100" w:type="dxa"/>
            </w:tcMar>
          </w:tcPr>
          <w:p>
            <w:pPr>
              <w:spacing w:after="0" w:line="245" w:lineRule="auto"/>
            </w:pPr>
            <w:r>
              <w:rPr>
                <w:b w:val="0"/>
                <w:sz w:val="19"/>
              </w:rPr>
              <w:t>No consistent gain on withheld structures after controlling input, training, and active computation.</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Does conditional routing add value</w:t>
            </w:r>
          </w:p>
        </w:tc>
        <w:tc>
          <w:tcPr>
            <w:tcW w:type="dxa" w:w="3600"/>
            <w:vAlign w:val="center"/>
            <w:shd w:fill="F5F7F9"/>
            <w:tcMar>
              <w:top w:w="70" w:type="dxa"/>
              <w:bottom w:w="70" w:type="dxa"/>
              <w:left w:w="100" w:type="dxa"/>
              <w:right w:w="100" w:type="dxa"/>
            </w:tcMar>
          </w:tcPr>
          <w:p>
            <w:pPr>
              <w:spacing w:after="0" w:line="245" w:lineRule="auto"/>
            </w:pPr>
            <w:r>
              <w:rPr>
                <w:b w:val="0"/>
                <w:sz w:val="19"/>
              </w:rPr>
              <w:t>Learned routing versus dense and fixed-routing controls</w:t>
            </w:r>
          </w:p>
        </w:tc>
        <w:tc>
          <w:tcPr>
            <w:tcW w:type="dxa" w:w="3773"/>
            <w:vAlign w:val="center"/>
            <w:shd w:fill="F5F7F9"/>
            <w:tcMar>
              <w:top w:w="70" w:type="dxa"/>
              <w:bottom w:w="70" w:type="dxa"/>
              <w:left w:w="100" w:type="dxa"/>
              <w:right w:w="100" w:type="dxa"/>
            </w:tcMar>
          </w:tcPr>
          <w:p>
            <w:pPr>
              <w:spacing w:after="0" w:line="245" w:lineRule="auto"/>
            </w:pPr>
            <w:r>
              <w:rPr>
                <w:b w:val="0"/>
                <w:sz w:val="19"/>
              </w:rPr>
              <w:t>Gains disappear after capacity matching or learned routing does not exceed fixed routing.</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Does head grouping help</w:t>
            </w:r>
          </w:p>
        </w:tc>
        <w:tc>
          <w:tcPr>
            <w:tcW w:type="dxa" w:w="3600"/>
            <w:vAlign w:val="center"/>
            <w:shd w:fill="FFFFFF"/>
            <w:tcMar>
              <w:top w:w="70" w:type="dxa"/>
              <w:bottom w:w="70" w:type="dxa"/>
              <w:left w:w="100" w:type="dxa"/>
              <w:right w:w="100" w:type="dxa"/>
            </w:tcMar>
          </w:tcPr>
          <w:p>
            <w:pPr>
              <w:spacing w:after="0" w:line="245" w:lineRule="auto"/>
            </w:pPr>
            <w:r>
              <w:rPr>
                <w:b w:val="0"/>
                <w:sz w:val="19"/>
              </w:rPr>
              <w:t>MoA versus grouped attention experts with matched active attention width</w:t>
            </w:r>
          </w:p>
        </w:tc>
        <w:tc>
          <w:tcPr>
            <w:tcW w:type="dxa" w:w="3773"/>
            <w:vAlign w:val="center"/>
            <w:shd w:fill="FFFFFF"/>
            <w:tcMar>
              <w:top w:w="70" w:type="dxa"/>
              <w:bottom w:w="70" w:type="dxa"/>
              <w:left w:w="100" w:type="dxa"/>
              <w:right w:w="100" w:type="dxa"/>
            </w:tcMar>
          </w:tcPr>
          <w:p>
            <w:pPr>
              <w:spacing w:after="0" w:line="245" w:lineRule="auto"/>
            </w:pPr>
            <w:r>
              <w:rPr>
                <w:b w:val="0"/>
                <w:sz w:val="19"/>
              </w:rPr>
              <w:t>The advantage vanishes when head count, projection width, or FFN routing is controlled.</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Does halting save useful computation</w:t>
            </w:r>
          </w:p>
        </w:tc>
        <w:tc>
          <w:tcPr>
            <w:tcW w:type="dxa" w:w="3600"/>
            <w:vAlign w:val="center"/>
            <w:shd w:fill="F5F7F9"/>
            <w:tcMar>
              <w:top w:w="70" w:type="dxa"/>
              <w:bottom w:w="70" w:type="dxa"/>
              <w:left w:w="100" w:type="dxa"/>
              <w:right w:w="100" w:type="dxa"/>
            </w:tcMar>
          </w:tcPr>
          <w:p>
            <w:pPr>
              <w:spacing w:after="0" w:line="245" w:lineRule="auto"/>
            </w:pPr>
            <w:r>
              <w:rPr>
                <w:b w:val="0"/>
                <w:sz w:val="19"/>
              </w:rPr>
              <w:t>Fixed-depth shared model versus adaptive version</w:t>
            </w:r>
          </w:p>
        </w:tc>
        <w:tc>
          <w:tcPr>
            <w:tcW w:type="dxa" w:w="3773"/>
            <w:vAlign w:val="center"/>
            <w:shd w:fill="F5F7F9"/>
            <w:tcMar>
              <w:top w:w="70" w:type="dxa"/>
              <w:bottom w:w="70" w:type="dxa"/>
              <w:left w:w="100" w:type="dxa"/>
              <w:right w:w="100" w:type="dxa"/>
            </w:tcMar>
          </w:tcPr>
          <w:p>
            <w:pPr>
              <w:spacing w:after="0" w:line="245" w:lineRule="auto"/>
            </w:pPr>
            <w:r>
              <w:rPr>
                <w:b w:val="0"/>
                <w:sz w:val="19"/>
              </w:rPr>
              <w:t>Reduced arithmetic has unacceptable error increase or fails to reduce measured runtime.</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Does module assembly help</w:t>
            </w:r>
          </w:p>
        </w:tc>
        <w:tc>
          <w:tcPr>
            <w:tcW w:type="dxa" w:w="3600"/>
            <w:vAlign w:val="center"/>
            <w:shd w:fill="FFFFFF"/>
            <w:tcMar>
              <w:top w:w="70" w:type="dxa"/>
              <w:bottom w:w="70" w:type="dxa"/>
              <w:left w:w="100" w:type="dxa"/>
              <w:right w:w="100" w:type="dxa"/>
            </w:tcMar>
          </w:tcPr>
          <w:p>
            <w:pPr>
              <w:spacing w:after="0" w:line="245" w:lineRule="auto"/>
            </w:pPr>
            <w:r>
              <w:rPr>
                <w:b w:val="0"/>
                <w:sz w:val="19"/>
              </w:rPr>
              <w:t>MoM versus continued dense training with the same initialization budget</w:t>
            </w:r>
          </w:p>
        </w:tc>
        <w:tc>
          <w:tcPr>
            <w:tcW w:type="dxa" w:w="3773"/>
            <w:vAlign w:val="center"/>
            <w:shd w:fill="FFFFFF"/>
            <w:tcMar>
              <w:top w:w="70" w:type="dxa"/>
              <w:bottom w:w="70" w:type="dxa"/>
              <w:left w:w="100" w:type="dxa"/>
              <w:right w:w="100" w:type="dxa"/>
            </w:tcMar>
          </w:tcPr>
          <w:p>
            <w:pPr>
              <w:spacing w:after="0" w:line="245" w:lineRule="auto"/>
            </w:pPr>
            <w:r>
              <w:rPr>
                <w:b w:val="0"/>
                <w:sz w:val="19"/>
              </w:rPr>
              <w:t>Improvements are explained by warm-up or additional training rather than assembly.</w:t>
            </w:r>
          </w:p>
        </w:tc>
      </w:tr>
    </w:tbl>
    <w:p>
      <w:pPr>
        <w:spacing w:after="20"/>
      </w:pPr>
    </w:p>
    <w:p>
      <w:pPr>
        <w:pStyle w:val="Heading2"/>
      </w:pPr>
      <w:r>
        <w:t>Primary endpoints</w:t>
      </w:r>
    </w:p>
    <w:p>
      <w:r>
        <w:t>For logical inference, the primary endpoint is accuracy on prespecified held-out structures, reported separately for length, composition, and their intersection. For state prediction, it is one-step test MSE, followed by rollout and switch-conditioned error. The principal efficiency endpoint is an accuracy versus measured inference cost curve on a fixed device, with arithmetic estimates reported separately.</w:t>
      </w:r>
    </w:p>
    <w:p>
      <w:pPr>
        <w:pStyle w:val="Heading2"/>
      </w:pPr>
      <w:r>
        <w:t>Criteria for advancing a candidate</w:t>
      </w:r>
    </w:p>
    <w:p>
      <w:r>
        <w:t>A screening result advances only after its implementation passes reference checks, learns a tiny training set, and shows a validation benefit across the screening seeds or a useful validation efficiency trade-off. A dense control and the single-expert recurrent control advance automatically. Do not select a winner from final test results.</w:t>
      </w:r>
    </w:p>
    <w:p>
      <w:r>
        <w:t>For confirmation, report individual seed results, mean paired differences, and their uncertainty. Five initialization seeds are the proposed minimum for the finalists, not a guarantee of statistical power. Require a prespecified practically meaningful difference before using the phrase performance improvement; choose that threshold from pilot variability and application cost before opening the final test results.</w:t>
      </w:r>
    </w:p>
    <w:p>
      <w:pPr>
        <w:pStyle w:val="Heading2"/>
      </w:pPr>
      <w:r>
        <w:t>Scope of conclusions</w:t>
      </w:r>
    </w:p>
    <w:p>
      <w:r>
        <w:t>A single-expert winner, failure on split C, or an absence of sparse speedup remains a valid conclusion. Differences between reference models reflect whole methods; only targeted controlled comparisons support claims about individual components. Any proposed new idea must outperform a credible baseline under at least one clearly stated resource constraint and survive its own ablation.</w:t>
      </w:r>
    </w:p>
    <w:p>
      <w:r>
        <w:br w:type="page"/>
      </w:r>
    </w:p>
    <w:p>
      <w:pPr>
        <w:pStyle w:val="Heading1"/>
      </w:pPr>
      <w:r>
        <w:t>3 Reproduction commitments and source audit</w:t>
      </w:r>
    </w:p>
    <w:p>
      <w:r>
        <w:t>The first implementation deliverable is a traceable mapping from paper to code to local module. Repository availability does not establish that every experiment, dependency, or checkpoint has been released.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3773"/>
      </w:tblGrid>
      <w:tr>
        <w:trPr>
          <w:cantSplit/>
          <w:tblHeader/>
        </w:trPr>
        <w:tc>
          <w:tcPr>
            <w:tcW w:type="dxa" w:w="2376"/>
            <w:vAlign w:val="center"/>
            <w:shd w:fill="DCE6EF"/>
            <w:tcMar>
              <w:top w:w="70" w:type="dxa"/>
              <w:bottom w:w="70" w:type="dxa"/>
              <w:left w:w="100" w:type="dxa"/>
              <w:right w:w="100" w:type="dxa"/>
            </w:tcMar>
          </w:tcPr>
          <w:p>
            <w:pPr>
              <w:spacing w:after="0" w:line="245" w:lineRule="auto"/>
            </w:pPr>
            <w:r>
              <w:rPr>
                <w:b/>
                <w:sz w:val="19"/>
              </w:rPr>
              <w:t>Model</w:t>
            </w:r>
          </w:p>
        </w:tc>
        <w:tc>
          <w:tcPr>
            <w:tcW w:type="dxa" w:w="3600"/>
            <w:vAlign w:val="center"/>
            <w:shd w:fill="DCE6EF"/>
            <w:tcMar>
              <w:top w:w="70" w:type="dxa"/>
              <w:bottom w:w="70" w:type="dxa"/>
              <w:left w:w="100" w:type="dxa"/>
              <w:right w:w="100" w:type="dxa"/>
            </w:tcMar>
          </w:tcPr>
          <w:p>
            <w:pPr>
              <w:spacing w:after="0" w:line="245" w:lineRule="auto"/>
            </w:pPr>
            <w:r>
              <w:rPr>
                <w:b/>
                <w:sz w:val="19"/>
              </w:rPr>
              <w:t>Source and current scope</w:t>
            </w:r>
          </w:p>
        </w:tc>
        <w:tc>
          <w:tcPr>
            <w:tcW w:type="dxa" w:w="3773"/>
            <w:vAlign w:val="center"/>
            <w:shd w:fill="DCE6EF"/>
            <w:tcMar>
              <w:top w:w="70" w:type="dxa"/>
              <w:bottom w:w="70" w:type="dxa"/>
              <w:left w:w="100" w:type="dxa"/>
              <w:right w:w="100" w:type="dxa"/>
            </w:tcMar>
          </w:tcPr>
          <w:p>
            <w:pPr>
              <w:spacing w:after="0" w:line="245" w:lineRule="auto"/>
            </w:pPr>
            <w:r>
              <w:rPr>
                <w:b/>
                <w:sz w:val="19"/>
              </w:rPr>
              <w:t>Required checks before adaptation</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SUT</w:t>
            </w:r>
          </w:p>
        </w:tc>
        <w:tc>
          <w:tcPr>
            <w:tcW w:type="dxa" w:w="3600"/>
            <w:vAlign w:val="center"/>
            <w:shd w:fill="FFFFFF"/>
            <w:tcMar>
              <w:top w:w="70" w:type="dxa"/>
              <w:bottom w:w="70" w:type="dxa"/>
              <w:left w:w="100" w:type="dxa"/>
              <w:right w:w="100" w:type="dxa"/>
            </w:tcMar>
          </w:tcPr>
          <w:p>
            <w:pPr>
              <w:spacing w:after="0" w:line="245" w:lineRule="auto"/>
            </w:pPr>
            <w:r>
              <w:rPr>
                <w:b w:val="0"/>
                <w:sz w:val="19"/>
              </w:rPr>
              <w:t>shawntan/SUT contains halting.py, sut_loss.py, transformer wrappers, and sut_layer implementations. README documents WMT14 En-De.</w:t>
            </w:r>
          </w:p>
        </w:tc>
        <w:tc>
          <w:tcPr>
            <w:tcW w:type="dxa" w:w="3773"/>
            <w:vAlign w:val="center"/>
            <w:shd w:fill="FFFFFF"/>
            <w:tcMar>
              <w:top w:w="70" w:type="dxa"/>
              <w:bottom w:w="70" w:type="dxa"/>
              <w:left w:w="100" w:type="dxa"/>
              <w:right w:w="100" w:type="dxa"/>
            </w:tcMar>
          </w:tcPr>
          <w:p>
            <w:pPr>
              <w:spacing w:after="0" w:line="245" w:lineRule="auto"/>
            </w:pPr>
            <w:r>
              <w:rPr>
                <w:b w:val="0"/>
                <w:sz w:val="19"/>
              </w:rPr>
              <w:t>Pin commit and dependencies; inspect expert dispatch, attention layout, loss signs, halting indices, normalization, and training configuration.</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MoM</w:t>
            </w:r>
          </w:p>
        </w:tc>
        <w:tc>
          <w:tcPr>
            <w:tcW w:type="dxa" w:w="3600"/>
            <w:vAlign w:val="center"/>
            <w:shd w:fill="F5F7F9"/>
            <w:tcMar>
              <w:top w:w="70" w:type="dxa"/>
              <w:bottom w:w="70" w:type="dxa"/>
              <w:left w:w="100" w:type="dxa"/>
              <w:right w:w="100" w:type="dxa"/>
            </w:tcMar>
          </w:tcPr>
          <w:p>
            <w:pPr>
              <w:spacing w:after="0" w:line="245" w:lineRule="auto"/>
            </w:pPr>
            <w:r>
              <w:rPr>
                <w:b w:val="0"/>
                <w:sz w:val="19"/>
              </w:rPr>
              <w:t>gzhch/Mixture-of-Modules contains mom/model.py, mom/config.py and training scripts. The older gzhch/MoM link is empty.</w:t>
            </w:r>
          </w:p>
        </w:tc>
        <w:tc>
          <w:tcPr>
            <w:tcW w:type="dxa" w:w="3773"/>
            <w:vAlign w:val="center"/>
            <w:shd w:fill="F5F7F9"/>
            <w:tcMar>
              <w:top w:w="70" w:type="dxa"/>
              <w:bottom w:w="70" w:type="dxa"/>
              <w:left w:w="100" w:type="dxa"/>
              <w:right w:w="100" w:type="dxa"/>
            </w:tcMar>
          </w:tcPr>
          <w:p>
            <w:pPr>
              <w:spacing w:after="0" w:line="245" w:lineRule="auto"/>
            </w:pPr>
            <w:r>
              <w:rPr>
                <w:b w:val="0"/>
                <w:sz w:val="19"/>
              </w:rPr>
              <w:t>Pin commit; confirm released variant, module assembly, GRU state, SKIP semantics, two-phase transfer and any missing components.</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Other families</w:t>
            </w:r>
          </w:p>
        </w:tc>
        <w:tc>
          <w:tcPr>
            <w:tcW w:type="dxa" w:w="3600"/>
            <w:vAlign w:val="center"/>
            <w:shd w:fill="FFFFFF"/>
            <w:tcMar>
              <w:top w:w="70" w:type="dxa"/>
              <w:bottom w:w="70" w:type="dxa"/>
              <w:left w:w="100" w:type="dxa"/>
              <w:right w:w="100" w:type="dxa"/>
            </w:tcMar>
          </w:tcPr>
          <w:p>
            <w:pPr>
              <w:spacing w:after="0" w:line="245" w:lineRule="auto"/>
            </w:pPr>
            <w:r>
              <w:rPr>
                <w:b w:val="0"/>
                <w:sz w:val="19"/>
              </w:rPr>
              <w:t>Use the cited papers and available author code for UT, Switch, MoA and MoH.</w:t>
            </w:r>
          </w:p>
        </w:tc>
        <w:tc>
          <w:tcPr>
            <w:tcW w:type="dxa" w:w="3773"/>
            <w:vAlign w:val="center"/>
            <w:shd w:fill="FFFFFF"/>
            <w:tcMar>
              <w:top w:w="70" w:type="dxa"/>
              <w:bottom w:w="70" w:type="dxa"/>
              <w:left w:w="100" w:type="dxa"/>
              <w:right w:w="100" w:type="dxa"/>
            </w:tcMar>
          </w:tcPr>
          <w:p>
            <w:pPr>
              <w:spacing w:after="0" w:line="245" w:lineRule="auto"/>
            </w:pPr>
            <w:r>
              <w:rPr>
                <w:b w:val="0"/>
                <w:sz w:val="19"/>
              </w:rPr>
              <w:t>Keep a source citation and record every deviation from the corresponding formulation.</w:t>
            </w:r>
          </w:p>
        </w:tc>
      </w:tr>
    </w:tbl>
    <w:p>
      <w:pPr>
        <w:spacing w:after="20"/>
      </w:pPr>
    </w:p>
    <w:p>
      <w:r>
        <w:t>Repository status was checked on 16 October 2026. Inspect licensing and preserve applicable notices before incorporating source. Save commit identifiers, dependency versions, local patches, and configuration hashes. [9, 10]</w:t>
      </w:r>
    </w:p>
    <w:p>
      <w:pPr>
        <w:pStyle w:val="Heading2"/>
      </w:pPr>
      <w:r>
        <w:t>Fidelity levels</w:t>
      </w:r>
    </w:p>
    <w:p>
      <w:r>
        <w:t>Level 1 is reference execution: run a tiny configuration of the original model code. Level 2 is mechanism reproduction: port the needed units into the project while comparing outputs and gradients with the reference. Level 3 is a task-adapted controlled variant: change the interface, mask, normalization, or training objective deliberately and label the change. Published-scale benchmark reproduction is a separate objective and is not promised by reducing a model’s size.</w:t>
      </w:r>
    </w:p>
    <w:p>
      <w:pPr>
        <w:pStyle w:val="Heading2"/>
      </w:pPr>
      <w:r>
        <w:t>Numerical verification</w:t>
      </w:r>
    </w:p>
    <w:p>
      <w:r>
        <w:t>Use deterministic small inputs, copied parameters, evaluation mode, and disabled stochastic dropout for parity checks. Compare forward outputs, loss components, selected indices, halting states and gradients where the implementations permit it. Start with FP32 tolerances appropriate to deterministic operations, document discrepancies, and tighten or relax only with an explanation. Handle top-k ties explicitly; do not treat a tie-induced expert permutation as a semantic failure.</w:t>
      </w:r>
    </w:p>
    <w:p>
      <w:r>
        <w:t>Required edge cases include one expert, all experts selected, padded tokens, extreme halting gates, a depth cap, all tokens halted, mixed active and halted tokens, and SKIP followed by later computation. Verify that masked tokens do not affect routing statistics or task loss. Tests must cover behavior, not simply duplicate implementation equations.</w:t>
      </w:r>
    </w:p>
    <w:p>
      <w:r>
        <w:t>Paper and code disagreements must be logged with the chosen behavior. In particular, halting indexing, the treatment of surviving mass at a depth cap, and the sign of auxiliary objectives must be verified from executable code rather than copied mechanically from notation.</w:t>
      </w:r>
    </w:p>
    <w:p>
      <w:r>
        <w:br w:type="page"/>
      </w:r>
    </w:p>
    <w:p>
      <w:pPr>
        <w:pStyle w:val="Heading1"/>
      </w:pPr>
      <w:r>
        <w:t>4 Logical inference dataset design</w:t>
      </w:r>
    </w:p>
    <w:p>
      <w:r>
        <w:t>Each record contains two propositional expressions and one semantic relation. The ordinary input is a token sequence such as “(b AND (NOT a)) #SEP# b”; the target category is forward entailment. Literal target token spellings will come from the released dataset dictionary rather than invented English labels. The task is supervised learning, not a zero-shot LLM test.</w:t>
      </w:r>
    </w:p>
    <w:p>
      <w:pPr>
        <w:pStyle w:val="Heading2"/>
      </w:pPr>
      <w:r>
        <w:t>Label semantics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589"/>
      </w:tblGrid>
      <w:tr>
        <w:trPr>
          <w:cantSplit/>
          <w:tblHeader/>
        </w:trPr>
        <w:tc>
          <w:tcPr>
            <w:tcW w:type="dxa" w:w="2160"/>
            <w:vAlign w:val="center"/>
            <w:shd w:fill="DCE6EF"/>
            <w:tcMar>
              <w:top w:w="70" w:type="dxa"/>
              <w:bottom w:w="70" w:type="dxa"/>
              <w:left w:w="100" w:type="dxa"/>
              <w:right w:w="100" w:type="dxa"/>
            </w:tcMar>
          </w:tcPr>
          <w:p>
            <w:pPr>
              <w:spacing w:after="0" w:line="245" w:lineRule="auto"/>
            </w:pPr>
            <w:r>
              <w:rPr>
                <w:b/>
                <w:sz w:val="19"/>
              </w:rPr>
              <w:t>Category</w:t>
            </w:r>
          </w:p>
        </w:tc>
        <w:tc>
          <w:tcPr>
            <w:tcW w:type="dxa" w:w="7589"/>
            <w:vAlign w:val="center"/>
            <w:shd w:fill="DCE6EF"/>
            <w:tcMar>
              <w:top w:w="70" w:type="dxa"/>
              <w:bottom w:w="70" w:type="dxa"/>
              <w:left w:w="100" w:type="dxa"/>
              <w:right w:w="100" w:type="dxa"/>
            </w:tcMar>
          </w:tcPr>
          <w:p>
            <w:pPr>
              <w:spacing w:after="0" w:line="245" w:lineRule="auto"/>
            </w:pPr>
            <w:r>
              <w:rPr>
                <w:b/>
                <w:sz w:val="19"/>
              </w:rPr>
              <w:t>Meaning for the ordered pair A and B</w:t>
            </w:r>
          </w:p>
        </w:tc>
      </w:tr>
      <w:tr>
        <w:trPr>
          <w:cantSplit/>
        </w:trPr>
        <w:tc>
          <w:tcPr>
            <w:tcW w:type="dxa" w:w="2160"/>
            <w:vAlign w:val="center"/>
            <w:shd w:fill="FFFFFF"/>
            <w:tcMar>
              <w:top w:w="70" w:type="dxa"/>
              <w:bottom w:w="70" w:type="dxa"/>
              <w:left w:w="100" w:type="dxa"/>
              <w:right w:w="100" w:type="dxa"/>
            </w:tcMar>
          </w:tcPr>
          <w:p>
            <w:pPr>
              <w:spacing w:after="0" w:line="245" w:lineRule="auto"/>
            </w:pPr>
            <w:r>
              <w:rPr>
                <w:b w:val="0"/>
                <w:sz w:val="19"/>
              </w:rPr>
              <w:t>Equivalence</w:t>
            </w:r>
          </w:p>
        </w:tc>
        <w:tc>
          <w:tcPr>
            <w:tcW w:type="dxa" w:w="7589"/>
            <w:vAlign w:val="center"/>
            <w:shd w:fill="FFFFFF"/>
            <w:tcMar>
              <w:top w:w="70" w:type="dxa"/>
              <w:bottom w:w="70" w:type="dxa"/>
              <w:left w:w="100" w:type="dxa"/>
              <w:right w:w="100" w:type="dxa"/>
            </w:tcMar>
          </w:tcPr>
          <w:p>
            <w:pPr>
              <w:spacing w:after="0" w:line="245" w:lineRule="auto"/>
            </w:pPr>
            <w:r>
              <w:rPr>
                <w:b w:val="0"/>
                <w:sz w:val="19"/>
              </w:rPr>
              <w:t>Both expressions have the same truth value under every assignment.</w:t>
            </w:r>
          </w:p>
        </w:tc>
      </w:tr>
      <w:tr>
        <w:trPr>
          <w:cantSplit/>
        </w:trPr>
        <w:tc>
          <w:tcPr>
            <w:tcW w:type="dxa" w:w="2160"/>
            <w:vAlign w:val="center"/>
            <w:shd w:fill="F5F7F9"/>
            <w:tcMar>
              <w:top w:w="70" w:type="dxa"/>
              <w:bottom w:w="70" w:type="dxa"/>
              <w:left w:w="100" w:type="dxa"/>
              <w:right w:w="100" w:type="dxa"/>
            </w:tcMar>
          </w:tcPr>
          <w:p>
            <w:pPr>
              <w:spacing w:after="0" w:line="245" w:lineRule="auto"/>
            </w:pPr>
            <w:r>
              <w:rPr>
                <w:b w:val="0"/>
                <w:sz w:val="19"/>
              </w:rPr>
              <w:t>Forward entailment</w:t>
            </w:r>
          </w:p>
        </w:tc>
        <w:tc>
          <w:tcPr>
            <w:tcW w:type="dxa" w:w="7589"/>
            <w:vAlign w:val="center"/>
            <w:shd w:fill="F5F7F9"/>
            <w:tcMar>
              <w:top w:w="70" w:type="dxa"/>
              <w:bottom w:w="70" w:type="dxa"/>
              <w:left w:w="100" w:type="dxa"/>
              <w:right w:w="100" w:type="dxa"/>
            </w:tcMar>
          </w:tcPr>
          <w:p>
            <w:pPr>
              <w:spacing w:after="0" w:line="245" w:lineRule="auto"/>
            </w:pPr>
            <w:r>
              <w:rPr>
                <w:b w:val="0"/>
                <w:sz w:val="19"/>
              </w:rPr>
              <w:t>A implies B strictly; the reverse implication does not hold.</w:t>
            </w:r>
          </w:p>
        </w:tc>
      </w:tr>
      <w:tr>
        <w:trPr>
          <w:cantSplit/>
        </w:trPr>
        <w:tc>
          <w:tcPr>
            <w:tcW w:type="dxa" w:w="2160"/>
            <w:vAlign w:val="center"/>
            <w:shd w:fill="FFFFFF"/>
            <w:tcMar>
              <w:top w:w="70" w:type="dxa"/>
              <w:bottom w:w="70" w:type="dxa"/>
              <w:left w:w="100" w:type="dxa"/>
              <w:right w:w="100" w:type="dxa"/>
            </w:tcMar>
          </w:tcPr>
          <w:p>
            <w:pPr>
              <w:spacing w:after="0" w:line="245" w:lineRule="auto"/>
            </w:pPr>
            <w:r>
              <w:rPr>
                <w:b w:val="0"/>
                <w:sz w:val="19"/>
              </w:rPr>
              <w:t>Reverse entailment</w:t>
            </w:r>
          </w:p>
        </w:tc>
        <w:tc>
          <w:tcPr>
            <w:tcW w:type="dxa" w:w="7589"/>
            <w:vAlign w:val="center"/>
            <w:shd w:fill="FFFFFF"/>
            <w:tcMar>
              <w:top w:w="70" w:type="dxa"/>
              <w:bottom w:w="70" w:type="dxa"/>
              <w:left w:w="100" w:type="dxa"/>
              <w:right w:w="100" w:type="dxa"/>
            </w:tcMar>
          </w:tcPr>
          <w:p>
            <w:pPr>
              <w:spacing w:after="0" w:line="245" w:lineRule="auto"/>
            </w:pPr>
            <w:r>
              <w:rPr>
                <w:b w:val="0"/>
                <w:sz w:val="19"/>
              </w:rPr>
              <w:t>B implies A strictly; the forward implication does not hold.</w:t>
            </w:r>
          </w:p>
        </w:tc>
      </w:tr>
      <w:tr>
        <w:trPr>
          <w:cantSplit/>
        </w:trPr>
        <w:tc>
          <w:tcPr>
            <w:tcW w:type="dxa" w:w="2160"/>
            <w:vAlign w:val="center"/>
            <w:shd w:fill="F5F7F9"/>
            <w:tcMar>
              <w:top w:w="70" w:type="dxa"/>
              <w:bottom w:w="70" w:type="dxa"/>
              <w:left w:w="100" w:type="dxa"/>
              <w:right w:w="100" w:type="dxa"/>
            </w:tcMar>
          </w:tcPr>
          <w:p>
            <w:pPr>
              <w:spacing w:after="0" w:line="245" w:lineRule="auto"/>
            </w:pPr>
            <w:r>
              <w:rPr>
                <w:b w:val="0"/>
                <w:sz w:val="19"/>
              </w:rPr>
              <w:t>Negation</w:t>
            </w:r>
          </w:p>
        </w:tc>
        <w:tc>
          <w:tcPr>
            <w:tcW w:type="dxa" w:w="7589"/>
            <w:vAlign w:val="center"/>
            <w:shd w:fill="F5F7F9"/>
            <w:tcMar>
              <w:top w:w="70" w:type="dxa"/>
              <w:bottom w:w="70" w:type="dxa"/>
              <w:left w:w="100" w:type="dxa"/>
              <w:right w:w="100" w:type="dxa"/>
            </w:tcMar>
          </w:tcPr>
          <w:p>
            <w:pPr>
              <w:spacing w:after="0" w:line="245" w:lineRule="auto"/>
            </w:pPr>
            <w:r>
              <w:rPr>
                <w:b w:val="0"/>
                <w:sz w:val="19"/>
              </w:rPr>
              <w:t>Exactly one expression is true under every assignment.</w:t>
            </w:r>
          </w:p>
        </w:tc>
      </w:tr>
      <w:tr>
        <w:trPr>
          <w:cantSplit/>
        </w:trPr>
        <w:tc>
          <w:tcPr>
            <w:tcW w:type="dxa" w:w="2160"/>
            <w:vAlign w:val="center"/>
            <w:shd w:fill="FFFFFF"/>
            <w:tcMar>
              <w:top w:w="70" w:type="dxa"/>
              <w:bottom w:w="70" w:type="dxa"/>
              <w:left w:w="100" w:type="dxa"/>
              <w:right w:w="100" w:type="dxa"/>
            </w:tcMar>
          </w:tcPr>
          <w:p>
            <w:pPr>
              <w:spacing w:after="0" w:line="245" w:lineRule="auto"/>
            </w:pPr>
            <w:r>
              <w:rPr>
                <w:b w:val="0"/>
                <w:sz w:val="19"/>
              </w:rPr>
              <w:t>Alternation</w:t>
            </w:r>
          </w:p>
        </w:tc>
        <w:tc>
          <w:tcPr>
            <w:tcW w:type="dxa" w:w="7589"/>
            <w:vAlign w:val="center"/>
            <w:shd w:fill="FFFFFF"/>
            <w:tcMar>
              <w:top w:w="70" w:type="dxa"/>
              <w:bottom w:w="70" w:type="dxa"/>
              <w:left w:w="100" w:type="dxa"/>
              <w:right w:w="100" w:type="dxa"/>
            </w:tcMar>
          </w:tcPr>
          <w:p>
            <w:pPr>
              <w:spacing w:after="0" w:line="245" w:lineRule="auto"/>
            </w:pPr>
            <w:r>
              <w:rPr>
                <w:b w:val="0"/>
                <w:sz w:val="19"/>
              </w:rPr>
              <w:t>They cannot both be true, but may both be false.</w:t>
            </w:r>
          </w:p>
        </w:tc>
      </w:tr>
      <w:tr>
        <w:trPr>
          <w:cantSplit/>
        </w:trPr>
        <w:tc>
          <w:tcPr>
            <w:tcW w:type="dxa" w:w="2160"/>
            <w:vAlign w:val="center"/>
            <w:shd w:fill="F5F7F9"/>
            <w:tcMar>
              <w:top w:w="70" w:type="dxa"/>
              <w:bottom w:w="70" w:type="dxa"/>
              <w:left w:w="100" w:type="dxa"/>
              <w:right w:w="100" w:type="dxa"/>
            </w:tcMar>
          </w:tcPr>
          <w:p>
            <w:pPr>
              <w:spacing w:after="0" w:line="245" w:lineRule="auto"/>
            </w:pPr>
            <w:r>
              <w:rPr>
                <w:b w:val="0"/>
                <w:sz w:val="19"/>
              </w:rPr>
              <w:t>Cover</w:t>
            </w:r>
          </w:p>
        </w:tc>
        <w:tc>
          <w:tcPr>
            <w:tcW w:type="dxa" w:w="7589"/>
            <w:vAlign w:val="center"/>
            <w:shd w:fill="F5F7F9"/>
            <w:tcMar>
              <w:top w:w="70" w:type="dxa"/>
              <w:bottom w:w="70" w:type="dxa"/>
              <w:left w:w="100" w:type="dxa"/>
              <w:right w:w="100" w:type="dxa"/>
            </w:tcMar>
          </w:tcPr>
          <w:p>
            <w:pPr>
              <w:spacing w:after="0" w:line="245" w:lineRule="auto"/>
            </w:pPr>
            <w:r>
              <w:rPr>
                <w:b w:val="0"/>
                <w:sz w:val="19"/>
              </w:rPr>
              <w:t>They cannot both be false, but may both be true.</w:t>
            </w:r>
          </w:p>
        </w:tc>
      </w:tr>
      <w:tr>
        <w:trPr>
          <w:cantSplit/>
        </w:trPr>
        <w:tc>
          <w:tcPr>
            <w:tcW w:type="dxa" w:w="2160"/>
            <w:vAlign w:val="center"/>
            <w:shd w:fill="FFFFFF"/>
            <w:tcMar>
              <w:top w:w="70" w:type="dxa"/>
              <w:bottom w:w="70" w:type="dxa"/>
              <w:left w:w="100" w:type="dxa"/>
              <w:right w:w="100" w:type="dxa"/>
            </w:tcMar>
          </w:tcPr>
          <w:p>
            <w:pPr>
              <w:spacing w:after="0" w:line="245" w:lineRule="auto"/>
            </w:pPr>
            <w:r>
              <w:rPr>
                <w:b w:val="0"/>
                <w:sz w:val="19"/>
              </w:rPr>
              <w:t>Independence</w:t>
            </w:r>
          </w:p>
        </w:tc>
        <w:tc>
          <w:tcPr>
            <w:tcW w:type="dxa" w:w="7589"/>
            <w:vAlign w:val="center"/>
            <w:shd w:fill="FFFFFF"/>
            <w:tcMar>
              <w:top w:w="70" w:type="dxa"/>
              <w:bottom w:w="70" w:type="dxa"/>
              <w:left w:w="100" w:type="dxa"/>
              <w:right w:w="100" w:type="dxa"/>
            </w:tcMar>
          </w:tcPr>
          <w:p>
            <w:pPr>
              <w:spacing w:after="0" w:line="245" w:lineRule="auto"/>
            </w:pPr>
            <w:r>
              <w:rPr>
                <w:b w:val="0"/>
                <w:sz w:val="19"/>
              </w:rPr>
              <w:t>None of the other relations holds.</w:t>
            </w:r>
          </w:p>
        </w:tc>
      </w:tr>
    </w:tbl>
    <w:p>
      <w:pPr>
        <w:spacing w:after="20"/>
      </w:pPr>
    </w:p>
    <w:p>
      <w:r>
        <w:t>Prefer the released logical-inference data and split scripts associated with Ordered Memory. Validate sampled labels with exhaustive truth assignments where the variable count permits. If generating new data, handle contradictions and tautologies explicitly: degenerate truth sets can satisfy overlapping set predicates, so the generator must follow a documented label policy or exclude them. Do not silently substitute an unverified seven-way classifier. [7, 11]</w:t>
      </w:r>
    </w:p>
    <w:p>
      <w:pPr>
        <w:pStyle w:val="Heading2"/>
      </w:pPr>
      <w:r>
        <w:t>Four evaluations</w:t>
      </w:r>
    </w:p>
    <w:p>
      <w:r>
        <w:t>L0 measures in-distribution performance on held-out examples. L1 trains on expressions with 0–6 operators and reports performance at each unseen operator count from 7 to 12, following the original counting convention. Verify whether that count applies per clause or to a pair before preprocessing; do not infer it from total token length.</w:t>
      </w:r>
    </w:p>
    <w:p>
      <w:r>
        <w:t>C1 follows the published A/B/C exclusions. In intuitive notation, A withholds the specified AND(NOT a) pattern, B broadens it to AND(NOT X), and C includes the corresponding OR(NOT X) pattern. Use the authors’ structural matching, including operand order and parentheses, rather than a simple text substring. These are exclusions within an expression, not relation labels. [7]</w:t>
      </w:r>
    </w:p>
    <w:p>
      <w:r>
        <w:t>C2 is our additional controlled evaluation: withheld compositions at lengths represented in training. A final intersection evaluation combines new length and new composition. This separates two sources of difficulty that otherwise overlap. It is a new controlled variant, not a renamed published benchmark.</w:t>
      </w:r>
    </w:p>
    <w:p>
      <w:r>
        <w:br w:type="page"/>
      </w:r>
    </w:p>
    <w:p>
      <w:pPr>
        <w:pStyle w:val="Heading1"/>
      </w:pPr>
      <w:r>
        <w:t>5 Data governance and the complementary dynamics task</w:t>
      </w:r>
    </w:p>
    <w:p>
      <w:pPr>
        <w:pStyle w:val="Heading2"/>
      </w:pPr>
      <w:r>
        <w:t>Preventing evaluation leakage</w:t>
      </w:r>
    </w:p>
    <w:p>
      <w:r>
        <w:t>Keep official train and test partitions intact for reference reporting. Create validation data from the permitted training pool with a fixed seed; never use the final test set to choose architectures, expert count, thresholds or early stopping. For new generated splits, allocate structural templates before drawing instances, then deduplicate expression pairs and audit both operand order and token serialization. Preserve the published natural distribution for the primary benchmark; report any balanced resampling separately.</w:t>
      </w:r>
    </w:p>
    <w:p>
      <w:r>
        <w:t>The dataset manifest must contain the generator or release version, seed, record counts, vocabulary, target mapping, maximum token length, operator count, tree depth, label frequencies, exclusion rules, and checksums. Known syntax and semantics may be stored for evaluation but must not enter non-oracle model inputs. Use a majority-label baseline and a simple shallow baseline to expose class imbalance or shortcuts.</w:t>
      </w:r>
    </w:p>
    <w:p>
      <w:r>
        <w:t>Validation has two roles. A fixed in-distribution validation set supports routine convergence checks. A separate development challenge set may support structural hyperparameter selection, but its templates and rules must be disjoint from final test templates. If such a challenge set cannot be constructed without contaminating the benchmark, select using training-derived validation only and state the limitation.</w:t>
      </w:r>
    </w:p>
    <w:p>
      <w:pPr>
        <w:pStyle w:val="Heading2"/>
      </w:pPr>
      <w:r>
        <w:t>State transition prediction</w:t>
      </w:r>
    </w:p>
    <w:p>
      <w:r>
        <w:t>Retain the current four-dimensional switching-dynamics generator as a second task. Its observations are state histories; hidden regime identities remain inaccessible to learned and random-routing models. Train/validation/test trajectories are disjoint before history windows are formed, and normalization uses training statistics only. [12]</w:t>
      </w:r>
    </w:p>
    <w:p>
      <w:r>
        <w:t>The task probes conditional prediction and adaptation to switching, not compositional generalization by definition. A future transition-composition dataset could hold out sequences of known transformations, but that changes the generator and requires a separate version, rationale, and leakage audit. Do not retrofit a new dataset after seeing which architecture loses.</w:t>
      </w:r>
    </w:p>
    <w:p>
      <w:r>
        <w:t>Report one-step MSE, rollout error at several horizons, errors aligned to regime changes, and recovery rates including censored episodes. Distinguish an oracle that knows the current regime from one that knows future regimes. Neither is an ordinary competitor with the same information.</w:t>
      </w:r>
    </w:p>
    <w:p>
      <w:r>
        <w:t>An unpredictable regime switch cannot be inferred before its first observable consequence under the current generator. This limits the achievable prediction gain and may explain why routing has little advantage in some settings; it is not evidence that the router is intrinsically incapable.</w:t>
      </w:r>
    </w:p>
    <w:p>
      <w:pPr>
        <w:pStyle w:val="Heading2"/>
      </w:pPr>
      <w:r>
        <w:t>Pilot sizes</w:t>
      </w:r>
    </w:p>
    <w:p>
      <w:r>
        <w:t>For generated controls only, begin with 2,000 training examples for correctness, then approximately 20,000 for screening, and expand to 100,000 or the full released dataset for confirmation if feasible. These are proposed budgets, not published settings. Validate that each relation and structural condition remains represented before adopting them.</w:t>
      </w:r>
    </w:p>
    <w:p>
      <w:r>
        <w:br w:type="page"/>
      </w:r>
    </w:p>
    <w:p>
      <w:pPr>
        <w:pStyle w:val="Heading1"/>
      </w:pPr>
      <w:r>
        <w:t>6 Model portfolio and common interfaces</w:t>
      </w:r>
    </w:p>
    <w:p>
      <w:r>
        <w:t>We will retain all model families from the final comparison slide. The model name records the source family, task wrapper, sharing convention, routing granularity, and halting mode. MHA and generic MoE are components, so they are columns or mechanisms rather than extra benchmark rows.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304"/>
        <w:gridCol w:w="2304"/>
        <w:gridCol w:w="3413"/>
      </w:tblGrid>
      <w:tr>
        <w:trPr>
          <w:cantSplit/>
          <w:tblHeader/>
        </w:trPr>
        <w:tc>
          <w:tcPr>
            <w:tcW w:type="dxa" w:w="1728"/>
            <w:vAlign w:val="center"/>
            <w:shd w:fill="DCE6EF"/>
            <w:tcMar>
              <w:top w:w="70" w:type="dxa"/>
              <w:bottom w:w="70" w:type="dxa"/>
              <w:left w:w="100" w:type="dxa"/>
              <w:right w:w="100" w:type="dxa"/>
            </w:tcMar>
          </w:tcPr>
          <w:p>
            <w:pPr>
              <w:spacing w:after="0" w:line="245" w:lineRule="auto"/>
            </w:pPr>
            <w:r>
              <w:rPr>
                <w:b/>
                <w:sz w:val="19"/>
              </w:rPr>
              <w:t>Family</w:t>
            </w:r>
          </w:p>
        </w:tc>
        <w:tc>
          <w:tcPr>
            <w:tcW w:type="dxa" w:w="2304"/>
            <w:vAlign w:val="center"/>
            <w:shd w:fill="DCE6EF"/>
            <w:tcMar>
              <w:top w:w="70" w:type="dxa"/>
              <w:bottom w:w="70" w:type="dxa"/>
              <w:left w:w="100" w:type="dxa"/>
              <w:right w:w="100" w:type="dxa"/>
            </w:tcMar>
          </w:tcPr>
          <w:p>
            <w:pPr>
              <w:spacing w:after="0" w:line="245" w:lineRule="auto"/>
            </w:pPr>
            <w:r>
              <w:rPr>
                <w:b/>
                <w:sz w:val="19"/>
              </w:rPr>
              <w:t>Routed unit</w:t>
            </w:r>
          </w:p>
        </w:tc>
        <w:tc>
          <w:tcPr>
            <w:tcW w:type="dxa" w:w="2304"/>
            <w:vAlign w:val="center"/>
            <w:shd w:fill="DCE6EF"/>
            <w:tcMar>
              <w:top w:w="70" w:type="dxa"/>
              <w:bottom w:w="70" w:type="dxa"/>
              <w:left w:w="100" w:type="dxa"/>
              <w:right w:w="100" w:type="dxa"/>
            </w:tcMar>
          </w:tcPr>
          <w:p>
            <w:pPr>
              <w:spacing w:after="0" w:line="245" w:lineRule="auto"/>
            </w:pPr>
            <w:r>
              <w:rPr>
                <w:b/>
                <w:sz w:val="19"/>
              </w:rPr>
              <w:t>Reuse across depth</w:t>
            </w:r>
          </w:p>
        </w:tc>
        <w:tc>
          <w:tcPr>
            <w:tcW w:type="dxa" w:w="3413"/>
            <w:vAlign w:val="center"/>
            <w:shd w:fill="DCE6EF"/>
            <w:tcMar>
              <w:top w:w="70" w:type="dxa"/>
              <w:bottom w:w="70" w:type="dxa"/>
              <w:left w:w="100" w:type="dxa"/>
              <w:right w:w="100" w:type="dxa"/>
            </w:tcMar>
          </w:tcPr>
          <w:p>
            <w:pPr>
              <w:spacing w:after="0" w:line="245" w:lineRule="auto"/>
            </w:pPr>
            <w:r>
              <w:rPr>
                <w:b/>
                <w:sz w:val="19"/>
              </w:rPr>
              <w:t>Primary small variant</w:t>
            </w:r>
          </w:p>
        </w:tc>
      </w:tr>
      <w:tr>
        <w:trPr>
          <w:cantSplit/>
        </w:trPr>
        <w:tc>
          <w:tcPr>
            <w:tcW w:type="dxa" w:w="1728"/>
            <w:vAlign w:val="center"/>
            <w:shd w:fill="FFFFFF"/>
            <w:tcMar>
              <w:top w:w="70" w:type="dxa"/>
              <w:bottom w:w="70" w:type="dxa"/>
              <w:left w:w="100" w:type="dxa"/>
              <w:right w:w="100" w:type="dxa"/>
            </w:tcMar>
          </w:tcPr>
          <w:p>
            <w:pPr>
              <w:spacing w:after="0" w:line="245" w:lineRule="auto"/>
            </w:pPr>
            <w:r>
              <w:rPr>
                <w:b w:val="0"/>
                <w:sz w:val="19"/>
              </w:rPr>
              <w:t>Dense Transformer</w:t>
            </w:r>
          </w:p>
        </w:tc>
        <w:tc>
          <w:tcPr>
            <w:tcW w:type="dxa" w:w="2304"/>
            <w:vAlign w:val="center"/>
            <w:shd w:fill="FFFFFF"/>
            <w:tcMar>
              <w:top w:w="70" w:type="dxa"/>
              <w:bottom w:w="70" w:type="dxa"/>
              <w:left w:w="100" w:type="dxa"/>
              <w:right w:w="100" w:type="dxa"/>
            </w:tcMar>
          </w:tcPr>
          <w:p>
            <w:pPr>
              <w:spacing w:after="0" w:line="245" w:lineRule="auto"/>
            </w:pPr>
            <w:r>
              <w:rPr>
                <w:b w:val="0"/>
                <w:sz w:val="19"/>
              </w:rPr>
              <w:t>None</w:t>
            </w:r>
          </w:p>
        </w:tc>
        <w:tc>
          <w:tcPr>
            <w:tcW w:type="dxa" w:w="2304"/>
            <w:vAlign w:val="center"/>
            <w:shd w:fill="FFFFFF"/>
            <w:tcMar>
              <w:top w:w="70" w:type="dxa"/>
              <w:bottom w:w="70" w:type="dxa"/>
              <w:left w:w="100" w:type="dxa"/>
              <w:right w:w="100" w:type="dxa"/>
            </w:tcMar>
          </w:tcPr>
          <w:p>
            <w:pPr>
              <w:spacing w:after="0" w:line="245" w:lineRule="auto"/>
            </w:pPr>
            <w:r>
              <w:rPr>
                <w:b w:val="0"/>
                <w:sz w:val="19"/>
              </w:rPr>
              <w:t>Separate blocks</w:t>
            </w:r>
          </w:p>
        </w:tc>
        <w:tc>
          <w:tcPr>
            <w:tcW w:type="dxa" w:w="3413"/>
            <w:vAlign w:val="center"/>
            <w:shd w:fill="FFFFFF"/>
            <w:tcMar>
              <w:top w:w="70" w:type="dxa"/>
              <w:bottom w:w="70" w:type="dxa"/>
              <w:left w:w="100" w:type="dxa"/>
              <w:right w:w="100" w:type="dxa"/>
            </w:tcMar>
          </w:tcPr>
          <w:p>
            <w:pPr>
              <w:spacing w:after="0" w:line="245" w:lineRule="auto"/>
            </w:pPr>
            <w:r>
              <w:rPr>
                <w:b w:val="0"/>
                <w:sz w:val="19"/>
              </w:rPr>
              <w:t>Six dense blocks with the common task head.</w:t>
            </w:r>
          </w:p>
        </w:tc>
      </w:tr>
      <w:tr>
        <w:trPr>
          <w:cantSplit/>
        </w:trPr>
        <w:tc>
          <w:tcPr>
            <w:tcW w:type="dxa" w:w="1728"/>
            <w:vAlign w:val="center"/>
            <w:shd w:fill="F5F7F9"/>
            <w:tcMar>
              <w:top w:w="70" w:type="dxa"/>
              <w:bottom w:w="70" w:type="dxa"/>
              <w:left w:w="100" w:type="dxa"/>
              <w:right w:w="100" w:type="dxa"/>
            </w:tcMar>
          </w:tcPr>
          <w:p>
            <w:pPr>
              <w:spacing w:after="0" w:line="245" w:lineRule="auto"/>
            </w:pPr>
            <w:r>
              <w:rPr>
                <w:b w:val="0"/>
                <w:sz w:val="19"/>
              </w:rPr>
              <w:t>Switch style</w:t>
            </w:r>
          </w:p>
        </w:tc>
        <w:tc>
          <w:tcPr>
            <w:tcW w:type="dxa" w:w="2304"/>
            <w:vAlign w:val="center"/>
            <w:shd w:fill="F5F7F9"/>
            <w:tcMar>
              <w:top w:w="70" w:type="dxa"/>
              <w:bottom w:w="70" w:type="dxa"/>
              <w:left w:w="100" w:type="dxa"/>
              <w:right w:w="100" w:type="dxa"/>
            </w:tcMar>
          </w:tcPr>
          <w:p>
            <w:pPr>
              <w:spacing w:after="0" w:line="245" w:lineRule="auto"/>
            </w:pPr>
            <w:r>
              <w:rPr>
                <w:b w:val="0"/>
                <w:sz w:val="19"/>
              </w:rPr>
              <w:t>FFN expert</w:t>
            </w:r>
          </w:p>
        </w:tc>
        <w:tc>
          <w:tcPr>
            <w:tcW w:type="dxa" w:w="2304"/>
            <w:vAlign w:val="center"/>
            <w:shd w:fill="F5F7F9"/>
            <w:tcMar>
              <w:top w:w="70" w:type="dxa"/>
              <w:bottom w:w="70" w:type="dxa"/>
              <w:left w:w="100" w:type="dxa"/>
              <w:right w:w="100" w:type="dxa"/>
            </w:tcMar>
          </w:tcPr>
          <w:p>
            <w:pPr>
              <w:spacing w:after="0" w:line="245" w:lineRule="auto"/>
            </w:pPr>
            <w:r>
              <w:rPr>
                <w:b w:val="0"/>
                <w:sz w:val="19"/>
              </w:rPr>
              <w:t>Separate pools by layer</w:t>
            </w:r>
          </w:p>
        </w:tc>
        <w:tc>
          <w:tcPr>
            <w:tcW w:type="dxa" w:w="3413"/>
            <w:vAlign w:val="center"/>
            <w:shd w:fill="F5F7F9"/>
            <w:tcMar>
              <w:top w:w="70" w:type="dxa"/>
              <w:bottom w:w="70" w:type="dxa"/>
              <w:left w:w="100" w:type="dxa"/>
              <w:right w:w="100" w:type="dxa"/>
            </w:tcMar>
          </w:tcPr>
          <w:p>
            <w:pPr>
              <w:spacing w:after="0" w:line="245" w:lineRule="auto"/>
            </w:pPr>
            <w:r>
              <w:rPr>
                <w:b w:val="0"/>
                <w:sz w:val="19"/>
              </w:rPr>
              <w:t>Dense attention and top-1 FFN routing.</w:t>
            </w:r>
          </w:p>
        </w:tc>
      </w:tr>
      <w:tr>
        <w:trPr>
          <w:cantSplit/>
        </w:trPr>
        <w:tc>
          <w:tcPr>
            <w:tcW w:type="dxa" w:w="1728"/>
            <w:vAlign w:val="center"/>
            <w:shd w:fill="FFFFFF"/>
            <w:tcMar>
              <w:top w:w="70" w:type="dxa"/>
              <w:bottom w:w="70" w:type="dxa"/>
              <w:left w:w="100" w:type="dxa"/>
              <w:right w:w="100" w:type="dxa"/>
            </w:tcMar>
          </w:tcPr>
          <w:p>
            <w:pPr>
              <w:spacing w:after="0" w:line="245" w:lineRule="auto"/>
            </w:pPr>
            <w:r>
              <w:rPr>
                <w:b w:val="0"/>
                <w:sz w:val="19"/>
              </w:rPr>
              <w:t>UT</w:t>
            </w:r>
          </w:p>
        </w:tc>
        <w:tc>
          <w:tcPr>
            <w:tcW w:type="dxa" w:w="2304"/>
            <w:vAlign w:val="center"/>
            <w:shd w:fill="FFFFFF"/>
            <w:tcMar>
              <w:top w:w="70" w:type="dxa"/>
              <w:bottom w:w="70" w:type="dxa"/>
              <w:left w:w="100" w:type="dxa"/>
              <w:right w:w="100" w:type="dxa"/>
            </w:tcMar>
          </w:tcPr>
          <w:p>
            <w:pPr>
              <w:spacing w:after="0" w:line="245" w:lineRule="auto"/>
            </w:pPr>
            <w:r>
              <w:rPr>
                <w:b w:val="0"/>
                <w:sz w:val="19"/>
              </w:rPr>
              <w:t>None</w:t>
            </w:r>
          </w:p>
        </w:tc>
        <w:tc>
          <w:tcPr>
            <w:tcW w:type="dxa" w:w="2304"/>
            <w:vAlign w:val="center"/>
            <w:shd w:fill="FFFFFF"/>
            <w:tcMar>
              <w:top w:w="70" w:type="dxa"/>
              <w:bottom w:w="70" w:type="dxa"/>
              <w:left w:w="100" w:type="dxa"/>
              <w:right w:w="100" w:type="dxa"/>
            </w:tcMar>
          </w:tcPr>
          <w:p>
            <w:pPr>
              <w:spacing w:after="0" w:line="245" w:lineRule="auto"/>
            </w:pPr>
            <w:r>
              <w:rPr>
                <w:b w:val="0"/>
                <w:sz w:val="19"/>
              </w:rPr>
              <w:t>One shared block</w:t>
            </w:r>
          </w:p>
        </w:tc>
        <w:tc>
          <w:tcPr>
            <w:tcW w:type="dxa" w:w="3413"/>
            <w:vAlign w:val="center"/>
            <w:shd w:fill="FFFFFF"/>
            <w:tcMar>
              <w:top w:w="70" w:type="dxa"/>
              <w:bottom w:w="70" w:type="dxa"/>
              <w:left w:w="100" w:type="dxa"/>
              <w:right w:w="100" w:type="dxa"/>
            </w:tcMar>
          </w:tcPr>
          <w:p>
            <w:pPr>
              <w:spacing w:after="0" w:line="245" w:lineRule="auto"/>
            </w:pPr>
            <w:r>
              <w:rPr>
                <w:b w:val="0"/>
                <w:sz w:val="19"/>
              </w:rPr>
              <w:t>Fixed-depth first; original ACT as a separate condition.</w:t>
            </w:r>
          </w:p>
        </w:tc>
      </w:tr>
      <w:tr>
        <w:trPr>
          <w:cantSplit/>
        </w:trPr>
        <w:tc>
          <w:tcPr>
            <w:tcW w:type="dxa" w:w="1728"/>
            <w:vAlign w:val="center"/>
            <w:shd w:fill="F5F7F9"/>
            <w:tcMar>
              <w:top w:w="70" w:type="dxa"/>
              <w:bottom w:w="70" w:type="dxa"/>
              <w:left w:w="100" w:type="dxa"/>
              <w:right w:w="100" w:type="dxa"/>
            </w:tcMar>
          </w:tcPr>
          <w:p>
            <w:pPr>
              <w:spacing w:after="0" w:line="245" w:lineRule="auto"/>
            </w:pPr>
            <w:r>
              <w:rPr>
                <w:b w:val="0"/>
                <w:sz w:val="19"/>
              </w:rPr>
              <w:t>MoA</w:t>
            </w:r>
          </w:p>
        </w:tc>
        <w:tc>
          <w:tcPr>
            <w:tcW w:type="dxa" w:w="2304"/>
            <w:vAlign w:val="center"/>
            <w:shd w:fill="F5F7F9"/>
            <w:tcMar>
              <w:top w:w="70" w:type="dxa"/>
              <w:bottom w:w="70" w:type="dxa"/>
              <w:left w:w="100" w:type="dxa"/>
              <w:right w:w="100" w:type="dxa"/>
            </w:tcMar>
          </w:tcPr>
          <w:p>
            <w:pPr>
              <w:spacing w:after="0" w:line="245" w:lineRule="auto"/>
            </w:pPr>
            <w:r>
              <w:rPr>
                <w:b w:val="0"/>
                <w:sz w:val="19"/>
              </w:rPr>
              <w:t>Individual attention expert</w:t>
            </w:r>
          </w:p>
        </w:tc>
        <w:tc>
          <w:tcPr>
            <w:tcW w:type="dxa" w:w="2304"/>
            <w:vAlign w:val="center"/>
            <w:shd w:fill="F5F7F9"/>
            <w:tcMar>
              <w:top w:w="70" w:type="dxa"/>
              <w:bottom w:w="70" w:type="dxa"/>
              <w:left w:w="100" w:type="dxa"/>
              <w:right w:w="100" w:type="dxa"/>
            </w:tcMar>
          </w:tcPr>
          <w:p>
            <w:pPr>
              <w:spacing w:after="0" w:line="245" w:lineRule="auto"/>
            </w:pPr>
            <w:r>
              <w:rPr>
                <w:b w:val="0"/>
                <w:sz w:val="19"/>
              </w:rPr>
              <w:t>Separate pools by layer</w:t>
            </w:r>
          </w:p>
        </w:tc>
        <w:tc>
          <w:tcPr>
            <w:tcW w:type="dxa" w:w="3413"/>
            <w:vAlign w:val="center"/>
            <w:shd w:fill="F5F7F9"/>
            <w:tcMar>
              <w:top w:w="70" w:type="dxa"/>
              <w:bottom w:w="70" w:type="dxa"/>
              <w:left w:w="100" w:type="dxa"/>
              <w:right w:w="100" w:type="dxa"/>
            </w:tcMar>
          </w:tcPr>
          <w:p>
            <w:pPr>
              <w:spacing w:after="0" w:line="245" w:lineRule="auto"/>
            </w:pPr>
            <w:r>
              <w:rPr>
                <w:b w:val="0"/>
                <w:sz w:val="19"/>
              </w:rPr>
              <w:t>Shared K/V and selected query/output experts; dense FFN.</w:t>
            </w:r>
          </w:p>
        </w:tc>
      </w:tr>
      <w:tr>
        <w:trPr>
          <w:cantSplit/>
        </w:trPr>
        <w:tc>
          <w:tcPr>
            <w:tcW w:type="dxa" w:w="1728"/>
            <w:vAlign w:val="center"/>
            <w:shd w:fill="FFFFFF"/>
            <w:tcMar>
              <w:top w:w="70" w:type="dxa"/>
              <w:bottom w:w="70" w:type="dxa"/>
              <w:left w:w="100" w:type="dxa"/>
              <w:right w:w="100" w:type="dxa"/>
            </w:tcMar>
          </w:tcPr>
          <w:p>
            <w:pPr>
              <w:spacing w:after="0" w:line="245" w:lineRule="auto"/>
            </w:pPr>
            <w:r>
              <w:rPr>
                <w:b w:val="0"/>
                <w:sz w:val="19"/>
              </w:rPr>
              <w:t>MoH</w:t>
            </w:r>
          </w:p>
        </w:tc>
        <w:tc>
          <w:tcPr>
            <w:tcW w:type="dxa" w:w="2304"/>
            <w:vAlign w:val="center"/>
            <w:shd w:fill="FFFFFF"/>
            <w:tcMar>
              <w:top w:w="70" w:type="dxa"/>
              <w:bottom w:w="70" w:type="dxa"/>
              <w:left w:w="100" w:type="dxa"/>
              <w:right w:w="100" w:type="dxa"/>
            </w:tcMar>
          </w:tcPr>
          <w:p>
            <w:pPr>
              <w:spacing w:after="0" w:line="245" w:lineRule="auto"/>
            </w:pPr>
            <w:r>
              <w:rPr>
                <w:b w:val="0"/>
                <w:sz w:val="19"/>
              </w:rPr>
              <w:t>Individual attention head</w:t>
            </w:r>
          </w:p>
        </w:tc>
        <w:tc>
          <w:tcPr>
            <w:tcW w:type="dxa" w:w="2304"/>
            <w:vAlign w:val="center"/>
            <w:shd w:fill="FFFFFF"/>
            <w:tcMar>
              <w:top w:w="70" w:type="dxa"/>
              <w:bottom w:w="70" w:type="dxa"/>
              <w:left w:w="100" w:type="dxa"/>
              <w:right w:w="100" w:type="dxa"/>
            </w:tcMar>
          </w:tcPr>
          <w:p>
            <w:pPr>
              <w:spacing w:after="0" w:line="245" w:lineRule="auto"/>
            </w:pPr>
            <w:r>
              <w:rPr>
                <w:b w:val="0"/>
                <w:sz w:val="19"/>
              </w:rPr>
              <w:t>Separate layers</w:t>
            </w:r>
          </w:p>
        </w:tc>
        <w:tc>
          <w:tcPr>
            <w:tcW w:type="dxa" w:w="3413"/>
            <w:vAlign w:val="center"/>
            <w:shd w:fill="FFFFFF"/>
            <w:tcMar>
              <w:top w:w="70" w:type="dxa"/>
              <w:bottom w:w="70" w:type="dxa"/>
              <w:left w:w="100" w:type="dxa"/>
              <w:right w:w="100" w:type="dxa"/>
            </w:tcMar>
          </w:tcPr>
          <w:p>
            <w:pPr>
              <w:spacing w:after="0" w:line="245" w:lineRule="auto"/>
            </w:pPr>
            <w:r>
              <w:rPr>
                <w:b w:val="0"/>
                <w:sz w:val="19"/>
              </w:rPr>
              <w:t>Shared always-active heads plus routed heads; dense FFN.</w:t>
            </w:r>
          </w:p>
        </w:tc>
      </w:tr>
      <w:tr>
        <w:trPr>
          <w:cantSplit/>
        </w:trPr>
        <w:tc>
          <w:tcPr>
            <w:tcW w:type="dxa" w:w="1728"/>
            <w:vAlign w:val="center"/>
            <w:shd w:fill="F5F7F9"/>
            <w:tcMar>
              <w:top w:w="70" w:type="dxa"/>
              <w:bottom w:w="70" w:type="dxa"/>
              <w:left w:w="100" w:type="dxa"/>
              <w:right w:w="100" w:type="dxa"/>
            </w:tcMar>
          </w:tcPr>
          <w:p>
            <w:pPr>
              <w:spacing w:after="0" w:line="245" w:lineRule="auto"/>
            </w:pPr>
            <w:r>
              <w:rPr>
                <w:b w:val="0"/>
                <w:sz w:val="19"/>
              </w:rPr>
              <w:t>SUT</w:t>
            </w:r>
          </w:p>
        </w:tc>
        <w:tc>
          <w:tcPr>
            <w:tcW w:type="dxa" w:w="2304"/>
            <w:vAlign w:val="center"/>
            <w:shd w:fill="F5F7F9"/>
            <w:tcMar>
              <w:top w:w="70" w:type="dxa"/>
              <w:bottom w:w="70" w:type="dxa"/>
              <w:left w:w="100" w:type="dxa"/>
              <w:right w:w="100" w:type="dxa"/>
            </w:tcMar>
          </w:tcPr>
          <w:p>
            <w:pPr>
              <w:spacing w:after="0" w:line="245" w:lineRule="auto"/>
            </w:pPr>
            <w:r>
              <w:rPr>
                <w:b w:val="0"/>
                <w:sz w:val="19"/>
              </w:rPr>
              <w:t>Multi-head attention expert and FFN expert</w:t>
            </w:r>
          </w:p>
        </w:tc>
        <w:tc>
          <w:tcPr>
            <w:tcW w:type="dxa" w:w="2304"/>
            <w:vAlign w:val="center"/>
            <w:shd w:fill="F5F7F9"/>
            <w:tcMar>
              <w:top w:w="70" w:type="dxa"/>
              <w:bottom w:w="70" w:type="dxa"/>
              <w:left w:w="100" w:type="dxa"/>
              <w:right w:w="100" w:type="dxa"/>
            </w:tcMar>
          </w:tcPr>
          <w:p>
            <w:pPr>
              <w:spacing w:after="0" w:line="245" w:lineRule="auto"/>
            </w:pPr>
            <w:r>
              <w:rPr>
                <w:b w:val="0"/>
                <w:sz w:val="19"/>
              </w:rPr>
              <w:t>Shared block and pools</w:t>
            </w:r>
          </w:p>
        </w:tc>
        <w:tc>
          <w:tcPr>
            <w:tcW w:type="dxa" w:w="3413"/>
            <w:vAlign w:val="center"/>
            <w:shd w:fill="F5F7F9"/>
            <w:tcMar>
              <w:top w:w="70" w:type="dxa"/>
              <w:bottom w:w="70" w:type="dxa"/>
              <w:left w:w="100" w:type="dxa"/>
              <w:right w:w="100" w:type="dxa"/>
            </w:tcMar>
          </w:tcPr>
          <w:p>
            <w:pPr>
              <w:spacing w:after="0" w:line="245" w:lineRule="auto"/>
            </w:pPr>
            <w:r>
              <w:rPr>
                <w:b w:val="0"/>
                <w:sz w:val="19"/>
              </w:rPr>
              <w:t>Original units, MIM and stick-breaking halting.</w:t>
            </w:r>
          </w:p>
        </w:tc>
      </w:tr>
      <w:tr>
        <w:trPr>
          <w:cantSplit/>
        </w:trPr>
        <w:tc>
          <w:tcPr>
            <w:tcW w:type="dxa" w:w="1728"/>
            <w:vAlign w:val="center"/>
            <w:shd w:fill="FFFFFF"/>
            <w:tcMar>
              <w:top w:w="70" w:type="dxa"/>
              <w:bottom w:w="70" w:type="dxa"/>
              <w:left w:w="100" w:type="dxa"/>
              <w:right w:w="100" w:type="dxa"/>
            </w:tcMar>
          </w:tcPr>
          <w:p>
            <w:pPr>
              <w:spacing w:after="0" w:line="245" w:lineRule="auto"/>
            </w:pPr>
            <w:r>
              <w:rPr>
                <w:b w:val="0"/>
                <w:sz w:val="19"/>
              </w:rPr>
              <w:t>MoM</w:t>
            </w:r>
          </w:p>
        </w:tc>
        <w:tc>
          <w:tcPr>
            <w:tcW w:type="dxa" w:w="2304"/>
            <w:vAlign w:val="center"/>
            <w:shd w:fill="FFFFFF"/>
            <w:tcMar>
              <w:top w:w="70" w:type="dxa"/>
              <w:bottom w:w="70" w:type="dxa"/>
              <w:left w:w="100" w:type="dxa"/>
              <w:right w:w="100" w:type="dxa"/>
            </w:tcMar>
          </w:tcPr>
          <w:p>
            <w:pPr>
              <w:spacing w:after="0" w:line="245" w:lineRule="auto"/>
            </w:pPr>
            <w:r>
              <w:rPr>
                <w:b w:val="0"/>
                <w:sz w:val="19"/>
              </w:rPr>
              <w:t>Attention and FFN modules</w:t>
            </w:r>
          </w:p>
        </w:tc>
        <w:tc>
          <w:tcPr>
            <w:tcW w:type="dxa" w:w="2304"/>
            <w:vAlign w:val="center"/>
            <w:shd w:fill="FFFFFF"/>
            <w:tcMar>
              <w:top w:w="70" w:type="dxa"/>
              <w:bottom w:w="70" w:type="dxa"/>
              <w:left w:w="100" w:type="dxa"/>
              <w:right w:w="100" w:type="dxa"/>
            </w:tcMar>
          </w:tcPr>
          <w:p>
            <w:pPr>
              <w:spacing w:after="0" w:line="245" w:lineRule="auto"/>
            </w:pPr>
            <w:r>
              <w:rPr>
                <w:b w:val="0"/>
                <w:sz w:val="19"/>
              </w:rPr>
              <w:t>Reusable module pools</w:t>
            </w:r>
          </w:p>
        </w:tc>
        <w:tc>
          <w:tcPr>
            <w:tcW w:type="dxa" w:w="3413"/>
            <w:vAlign w:val="center"/>
            <w:shd w:fill="FFFFFF"/>
            <w:tcMar>
              <w:top w:w="70" w:type="dxa"/>
              <w:bottom w:w="70" w:type="dxa"/>
              <w:left w:w="100" w:type="dxa"/>
              <w:right w:w="100" w:type="dxa"/>
            </w:tcMar>
          </w:tcPr>
          <w:p>
            <w:pPr>
              <w:spacing w:after="0" w:line="245" w:lineRule="auto"/>
            </w:pPr>
            <w:r>
              <w:rPr>
                <w:b w:val="0"/>
                <w:sz w:val="19"/>
              </w:rPr>
              <w:t>Original assembly and routers with two-phase initialization.</w:t>
            </w:r>
          </w:p>
        </w:tc>
      </w:tr>
    </w:tbl>
    <w:p>
      <w:pPr>
        <w:spacing w:after="20"/>
      </w:pPr>
    </w:p>
    <w:p>
      <w:pPr>
        <w:pStyle w:val="Heading2"/>
      </w:pPr>
      <w:r>
        <w:t>Reference and controlled interfaces</w:t>
      </w:r>
    </w:p>
    <w:p>
      <w:r>
        <w:t>The SUT reference path retains its encoder decoder architecture and one-token relation target. The MoM reference path retains its causal language-model organization; serialize the pair followed by the relation token, apply task loss only to the target position, and document this task adaptation. The original MoM pretraining objective remains part of a separate faithful training check.</w:t>
      </w:r>
    </w:p>
    <w:p>
      <w:r>
        <w:t>For causal structural comparisons, use a common encoder classifier where feasible: both clauses and a separator enter, a fixed readout maps to seven classes, and all families receive the same attention mask and labels. A MoM encoder adaptation is explicitly an adaptation. Never pool its score with the reference causal model without identifying the interface difference.</w:t>
      </w:r>
    </w:p>
    <w:p>
      <w:r>
        <w:t>For dynamics, all adapted families receive the same continuous embedding, causal history mask, and last-position regression head. This differs from language-model pretraining and must be evaluated separately.</w:t>
      </w:r>
    </w:p>
    <w:p>
      <w:pPr>
        <w:pStyle w:val="Heading2"/>
      </w:pPr>
      <w:r>
        <w:t>Provisional common scale</w:t>
      </w:r>
    </w:p>
    <w:p>
      <w:r>
        <w:t>Use model width 128, four dense heads of width 32, FFN hidden width 512, and six block applications. Each application contains one attention and one FFN sublayer. A shared UT block applied six times has the same execution depth as six untied blocks but fewer stored parameters. SUT’s published logical task used 12 encoder and 12 decoder steps; a six-step budget is our controlled scale. [2]</w:t>
      </w:r>
    </w:p>
    <w:p>
      <w:r>
        <w:t>Final configuration values are frozen only after an out-of-memory and throughput pilot. Changing scale after observing final test performance is not permitted.</w:t>
      </w:r>
    </w:p>
    <w:p>
      <w:r>
        <w:br w:type="page"/>
      </w:r>
    </w:p>
    <w:p>
      <w:pPr>
        <w:pStyle w:val="Heading1"/>
      </w:pPr>
      <w:r>
        <w:t>7 Small SUT design and invariants</w:t>
      </w:r>
    </w:p>
    <w:p>
      <w:r>
        <w:t>The SUT implementation must preserve the distinction between expert count, model width, heads per expert, and head dimension. Use separate names for attention and FFN pool sizes even when their numerical values match. Do not multiply the residual representation width by the expert count.</w:t>
      </w:r>
    </w:p>
    <w:p>
      <w:pPr>
        <w:pStyle w:val="Heading2"/>
      </w:pPr>
      <w:r>
        <w:t>Proposed starting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3773"/>
      </w:tblGrid>
      <w:tr>
        <w:trPr>
          <w:cantSplit/>
          <w:tblHeader/>
        </w:trPr>
        <w:tc>
          <w:tcPr>
            <w:tcW w:type="dxa" w:w="2376"/>
            <w:vAlign w:val="center"/>
            <w:shd w:fill="DCE6EF"/>
            <w:tcMar>
              <w:top w:w="70" w:type="dxa"/>
              <w:bottom w:w="70" w:type="dxa"/>
              <w:left w:w="100" w:type="dxa"/>
              <w:right w:w="100" w:type="dxa"/>
            </w:tcMar>
          </w:tcPr>
          <w:p>
            <w:pPr>
              <w:spacing w:after="0" w:line="245" w:lineRule="auto"/>
            </w:pPr>
            <w:r>
              <w:rPr>
                <w:b/>
                <w:sz w:val="19"/>
              </w:rPr>
              <w:t>Setting</w:t>
            </w:r>
          </w:p>
        </w:tc>
        <w:tc>
          <w:tcPr>
            <w:tcW w:type="dxa" w:w="3600"/>
            <w:vAlign w:val="center"/>
            <w:shd w:fill="DCE6EF"/>
            <w:tcMar>
              <w:top w:w="70" w:type="dxa"/>
              <w:bottom w:w="70" w:type="dxa"/>
              <w:left w:w="100" w:type="dxa"/>
              <w:right w:w="100" w:type="dxa"/>
            </w:tcMar>
          </w:tcPr>
          <w:p>
            <w:pPr>
              <w:spacing w:after="0" w:line="245" w:lineRule="auto"/>
            </w:pPr>
            <w:r>
              <w:rPr>
                <w:b/>
                <w:sz w:val="19"/>
              </w:rPr>
              <w:t>Initial proposal</w:t>
            </w:r>
          </w:p>
        </w:tc>
        <w:tc>
          <w:tcPr>
            <w:tcW w:type="dxa" w:w="3773"/>
            <w:vAlign w:val="center"/>
            <w:shd w:fill="DCE6EF"/>
            <w:tcMar>
              <w:top w:w="70" w:type="dxa"/>
              <w:bottom w:w="70" w:type="dxa"/>
              <w:left w:w="100" w:type="dxa"/>
              <w:right w:w="100" w:type="dxa"/>
            </w:tcMar>
          </w:tcPr>
          <w:p>
            <w:pPr>
              <w:spacing w:after="0" w:line="245" w:lineRule="auto"/>
            </w:pPr>
            <w:r>
              <w:rPr>
                <w:b/>
                <w:sz w:val="19"/>
              </w:rPr>
              <w:t>Interpretation</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Model width</w:t>
            </w:r>
          </w:p>
        </w:tc>
        <w:tc>
          <w:tcPr>
            <w:tcW w:type="dxa" w:w="3600"/>
            <w:vAlign w:val="center"/>
            <w:shd w:fill="FFFFFF"/>
            <w:tcMar>
              <w:top w:w="70" w:type="dxa"/>
              <w:bottom w:w="70" w:type="dxa"/>
              <w:left w:w="100" w:type="dxa"/>
              <w:right w:w="100" w:type="dxa"/>
            </w:tcMar>
          </w:tcPr>
          <w:p>
            <w:pPr>
              <w:spacing w:after="0" w:line="245" w:lineRule="auto"/>
            </w:pPr>
            <w:r>
              <w:rPr>
                <w:b w:val="0"/>
                <w:sz w:val="19"/>
              </w:rPr>
              <w:t>128</w:t>
            </w:r>
          </w:p>
        </w:tc>
        <w:tc>
          <w:tcPr>
            <w:tcW w:type="dxa" w:w="3773"/>
            <w:vAlign w:val="center"/>
            <w:shd w:fill="FFFFFF"/>
            <w:tcMar>
              <w:top w:w="70" w:type="dxa"/>
              <w:bottom w:w="70" w:type="dxa"/>
              <w:left w:w="100" w:type="dxa"/>
              <w:right w:w="100" w:type="dxa"/>
            </w:tcMar>
          </w:tcPr>
          <w:p>
            <w:pPr>
              <w:spacing w:after="0" w:line="245" w:lineRule="auto"/>
            </w:pPr>
            <w:r>
              <w:rPr>
                <w:b w:val="0"/>
                <w:sz w:val="19"/>
              </w:rPr>
              <w:t>Every token has 128 residual-stream coordinates.</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Attention experts</w:t>
            </w:r>
          </w:p>
        </w:tc>
        <w:tc>
          <w:tcPr>
            <w:tcW w:type="dxa" w:w="3600"/>
            <w:vAlign w:val="center"/>
            <w:shd w:fill="F5F7F9"/>
            <w:tcMar>
              <w:top w:w="70" w:type="dxa"/>
              <w:bottom w:w="70" w:type="dxa"/>
              <w:left w:w="100" w:type="dxa"/>
              <w:right w:w="100" w:type="dxa"/>
            </w:tcMar>
          </w:tcPr>
          <w:p>
            <w:pPr>
              <w:spacing w:after="0" w:line="245" w:lineRule="auto"/>
            </w:pPr>
            <w:r>
              <w:rPr>
                <w:b w:val="0"/>
                <w:sz w:val="19"/>
              </w:rPr>
              <w:t>4</w:t>
            </w:r>
          </w:p>
        </w:tc>
        <w:tc>
          <w:tcPr>
            <w:tcW w:type="dxa" w:w="3773"/>
            <w:vAlign w:val="center"/>
            <w:shd w:fill="F5F7F9"/>
            <w:tcMar>
              <w:top w:w="70" w:type="dxa"/>
              <w:bottom w:w="70" w:type="dxa"/>
              <w:left w:w="100" w:type="dxa"/>
              <w:right w:w="100" w:type="dxa"/>
            </w:tcMar>
          </w:tcPr>
          <w:p>
            <w:pPr>
              <w:spacing w:after="0" w:line="245" w:lineRule="auto"/>
            </w:pPr>
            <w:r>
              <w:rPr>
                <w:b w:val="0"/>
                <w:sz w:val="19"/>
              </w:rPr>
              <w:t>Four candidate attention experts in the shared pool.</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Selected attention experts</w:t>
            </w:r>
          </w:p>
        </w:tc>
        <w:tc>
          <w:tcPr>
            <w:tcW w:type="dxa" w:w="3600"/>
            <w:vAlign w:val="center"/>
            <w:shd w:fill="FFFFFF"/>
            <w:tcMar>
              <w:top w:w="70" w:type="dxa"/>
              <w:bottom w:w="70" w:type="dxa"/>
              <w:left w:w="100" w:type="dxa"/>
              <w:right w:w="100" w:type="dxa"/>
            </w:tcMar>
          </w:tcPr>
          <w:p>
            <w:pPr>
              <w:spacing w:after="0" w:line="245" w:lineRule="auto"/>
            </w:pPr>
            <w:r>
              <w:rPr>
                <w:b w:val="0"/>
                <w:sz w:val="19"/>
              </w:rPr>
              <w:t>2</w:t>
            </w:r>
          </w:p>
        </w:tc>
        <w:tc>
          <w:tcPr>
            <w:tcW w:type="dxa" w:w="3773"/>
            <w:vAlign w:val="center"/>
            <w:shd w:fill="FFFFFF"/>
            <w:tcMar>
              <w:top w:w="70" w:type="dxa"/>
              <w:bottom w:w="70" w:type="dxa"/>
              <w:left w:w="100" w:type="dxa"/>
              <w:right w:w="100" w:type="dxa"/>
            </w:tcMar>
          </w:tcPr>
          <w:p>
            <w:pPr>
              <w:spacing w:after="0" w:line="245" w:lineRule="auto"/>
            </w:pPr>
            <w:r>
              <w:rPr>
                <w:b w:val="0"/>
                <w:sz w:val="19"/>
              </w:rPr>
              <w:t>Two experts selected per active token.</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Heads per attention expert</w:t>
            </w:r>
          </w:p>
        </w:tc>
        <w:tc>
          <w:tcPr>
            <w:tcW w:type="dxa" w:w="3600"/>
            <w:vAlign w:val="center"/>
            <w:shd w:fill="F5F7F9"/>
            <w:tcMar>
              <w:top w:w="70" w:type="dxa"/>
              <w:bottom w:w="70" w:type="dxa"/>
              <w:left w:w="100" w:type="dxa"/>
              <w:right w:w="100" w:type="dxa"/>
            </w:tcMar>
          </w:tcPr>
          <w:p>
            <w:pPr>
              <w:spacing w:after="0" w:line="245" w:lineRule="auto"/>
            </w:pPr>
            <w:r>
              <w:rPr>
                <w:b w:val="0"/>
                <w:sz w:val="19"/>
              </w:rPr>
              <w:t>2</w:t>
            </w:r>
          </w:p>
        </w:tc>
        <w:tc>
          <w:tcPr>
            <w:tcW w:type="dxa" w:w="3773"/>
            <w:vAlign w:val="center"/>
            <w:shd w:fill="F5F7F9"/>
            <w:tcMar>
              <w:top w:w="70" w:type="dxa"/>
              <w:bottom w:w="70" w:type="dxa"/>
              <w:left w:w="100" w:type="dxa"/>
              <w:right w:w="100" w:type="dxa"/>
            </w:tcMar>
          </w:tcPr>
          <w:p>
            <w:pPr>
              <w:spacing w:after="0" w:line="245" w:lineRule="auto"/>
            </w:pPr>
            <w:r>
              <w:rPr>
                <w:b w:val="0"/>
                <w:sz w:val="19"/>
              </w:rPr>
              <w:t>Multiple heads inside each selected expert.</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Head width</w:t>
            </w:r>
          </w:p>
        </w:tc>
        <w:tc>
          <w:tcPr>
            <w:tcW w:type="dxa" w:w="3600"/>
            <w:vAlign w:val="center"/>
            <w:shd w:fill="FFFFFF"/>
            <w:tcMar>
              <w:top w:w="70" w:type="dxa"/>
              <w:bottom w:w="70" w:type="dxa"/>
              <w:left w:w="100" w:type="dxa"/>
              <w:right w:w="100" w:type="dxa"/>
            </w:tcMar>
          </w:tcPr>
          <w:p>
            <w:pPr>
              <w:spacing w:after="0" w:line="245" w:lineRule="auto"/>
            </w:pPr>
            <w:r>
              <w:rPr>
                <w:b w:val="0"/>
                <w:sz w:val="19"/>
              </w:rPr>
              <w:t>32</w:t>
            </w:r>
          </w:p>
        </w:tc>
        <w:tc>
          <w:tcPr>
            <w:tcW w:type="dxa" w:w="3773"/>
            <w:vAlign w:val="center"/>
            <w:shd w:fill="FFFFFF"/>
            <w:tcMar>
              <w:top w:w="70" w:type="dxa"/>
              <w:bottom w:w="70" w:type="dxa"/>
              <w:left w:w="100" w:type="dxa"/>
              <w:right w:w="100" w:type="dxa"/>
            </w:tcMar>
          </w:tcPr>
          <w:p>
            <w:pPr>
              <w:spacing w:after="0" w:line="245" w:lineRule="auto"/>
            </w:pPr>
            <w:r>
              <w:rPr>
                <w:b w:val="0"/>
                <w:sz w:val="19"/>
              </w:rPr>
              <w:t>Each head has matching query and key dimensions.</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FFN experts and top-k</w:t>
            </w:r>
          </w:p>
        </w:tc>
        <w:tc>
          <w:tcPr>
            <w:tcW w:type="dxa" w:w="3600"/>
            <w:vAlign w:val="center"/>
            <w:shd w:fill="F5F7F9"/>
            <w:tcMar>
              <w:top w:w="70" w:type="dxa"/>
              <w:bottom w:w="70" w:type="dxa"/>
              <w:left w:w="100" w:type="dxa"/>
              <w:right w:w="100" w:type="dxa"/>
            </w:tcMar>
          </w:tcPr>
          <w:p>
            <w:pPr>
              <w:spacing w:after="0" w:line="245" w:lineRule="auto"/>
            </w:pPr>
            <w:r>
              <w:rPr>
                <w:b w:val="0"/>
                <w:sz w:val="19"/>
              </w:rPr>
              <w:t>4 and 2</w:t>
            </w:r>
          </w:p>
        </w:tc>
        <w:tc>
          <w:tcPr>
            <w:tcW w:type="dxa" w:w="3773"/>
            <w:vAlign w:val="center"/>
            <w:shd w:fill="F5F7F9"/>
            <w:tcMar>
              <w:top w:w="70" w:type="dxa"/>
              <w:bottom w:w="70" w:type="dxa"/>
              <w:left w:w="100" w:type="dxa"/>
              <w:right w:w="100" w:type="dxa"/>
            </w:tcMar>
          </w:tcPr>
          <w:p>
            <w:pPr>
              <w:spacing w:after="0" w:line="245" w:lineRule="auto"/>
            </w:pPr>
            <w:r>
              <w:rPr>
                <w:b w:val="0"/>
                <w:sz w:val="19"/>
              </w:rPr>
              <w:t>Separate FFN router and pool.</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FFN expert hidden width</w:t>
            </w:r>
          </w:p>
        </w:tc>
        <w:tc>
          <w:tcPr>
            <w:tcW w:type="dxa" w:w="3600"/>
            <w:vAlign w:val="center"/>
            <w:shd w:fill="FFFFFF"/>
            <w:tcMar>
              <w:top w:w="70" w:type="dxa"/>
              <w:bottom w:w="70" w:type="dxa"/>
              <w:left w:w="100" w:type="dxa"/>
              <w:right w:w="100" w:type="dxa"/>
            </w:tcMar>
          </w:tcPr>
          <w:p>
            <w:pPr>
              <w:spacing w:after="0" w:line="245" w:lineRule="auto"/>
            </w:pPr>
            <w:r>
              <w:rPr>
                <w:b w:val="0"/>
                <w:sz w:val="19"/>
              </w:rPr>
              <w:t>256</w:t>
            </w:r>
          </w:p>
        </w:tc>
        <w:tc>
          <w:tcPr>
            <w:tcW w:type="dxa" w:w="3773"/>
            <w:vAlign w:val="center"/>
            <w:shd w:fill="FFFFFF"/>
            <w:tcMar>
              <w:top w:w="70" w:type="dxa"/>
              <w:bottom w:w="70" w:type="dxa"/>
              <w:left w:w="100" w:type="dxa"/>
              <w:right w:w="100" w:type="dxa"/>
            </w:tcMar>
          </w:tcPr>
          <w:p>
            <w:pPr>
              <w:spacing w:after="0" w:line="245" w:lineRule="auto"/>
            </w:pPr>
            <w:r>
              <w:rPr>
                <w:b w:val="0"/>
                <w:sz w:val="19"/>
              </w:rPr>
              <w:t>Two selected experts give a first arithmetic control against a dense width of 512.</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Maximum shared steps</w:t>
            </w:r>
          </w:p>
        </w:tc>
        <w:tc>
          <w:tcPr>
            <w:tcW w:type="dxa" w:w="3600"/>
            <w:vAlign w:val="center"/>
            <w:shd w:fill="F5F7F9"/>
            <w:tcMar>
              <w:top w:w="70" w:type="dxa"/>
              <w:bottom w:w="70" w:type="dxa"/>
              <w:left w:w="100" w:type="dxa"/>
              <w:right w:w="100" w:type="dxa"/>
            </w:tcMar>
          </w:tcPr>
          <w:p>
            <w:pPr>
              <w:spacing w:after="0" w:line="245" w:lineRule="auto"/>
            </w:pPr>
            <w:r>
              <w:rPr>
                <w:b w:val="0"/>
                <w:sz w:val="19"/>
              </w:rPr>
              <w:t>6</w:t>
            </w:r>
          </w:p>
        </w:tc>
        <w:tc>
          <w:tcPr>
            <w:tcW w:type="dxa" w:w="3773"/>
            <w:vAlign w:val="center"/>
            <w:shd w:fill="F5F7F9"/>
            <w:tcMar>
              <w:top w:w="70" w:type="dxa"/>
              <w:bottom w:w="70" w:type="dxa"/>
              <w:left w:w="100" w:type="dxa"/>
              <w:right w:w="100" w:type="dxa"/>
            </w:tcMar>
          </w:tcPr>
          <w:p>
            <w:pPr>
              <w:spacing w:after="0" w:line="245" w:lineRule="auto"/>
            </w:pPr>
            <w:r>
              <w:rPr>
                <w:b w:val="0"/>
                <w:sz w:val="19"/>
              </w:rPr>
              <w:t>Count real block applications and active token updates.</w:t>
            </w:r>
          </w:p>
        </w:tc>
      </w:tr>
    </w:tbl>
    <w:p>
      <w:pPr>
        <w:spacing w:after="20"/>
      </w:pPr>
    </w:p>
    <w:p>
      <w:r>
        <w:t>This is a proposed scaled configuration, not an assertion of exact compute equivalence. Shared K/V projections, routers, output projections, dispatch, and attention-score work affect the actual budget. For the reference encoder decoder path, report encoder and decoder depth separately; six plus six is not equivalent to six encoder-only blocks.</w:t>
      </w:r>
    </w:p>
    <w:p>
      <w:pPr>
        <w:pStyle w:val="Heading2"/>
      </w:pPr>
      <w:r>
        <w:t>Mechanisms that must survive scaling</w:t>
      </w:r>
    </w:p>
    <w:p>
      <w:r>
        <w:t>Preserve the original routing normalization, expert outputs, relative-position score mechanism, residual and normalization order, and sharing across depth. The attention gate selects experts containing several heads. The FFN gate selects FFN experts independently. A relative-position window indexes learned offset vectors; it does not by itself restrict which tokens can attend.</w:t>
      </w:r>
    </w:p>
    <w:p>
      <w:r>
        <w:t>MIM encourages balanced marginal routing and confident conditional routing. Verify the implemented optimization sign and all masking or averaging conventions. Do not replace MIM by conventional load balancing in the reference model; make that replacement an ablation.</w:t>
      </w:r>
    </w:p>
    <w:p>
      <w:r>
        <w:t>Stick-breaking halting distinguishes a conditional gate from unconditional stopping mass. Retain the original raw block state, expected halted state, attention key/value inputs, threshold, and finite-depth handling. Halted tokens remain available to other tokens even when their own updates stop. Verify that sparse execution actually avoids the skipped work rather than merely zeroing a dense result.</w:t>
      </w:r>
    </w:p>
    <w:p>
      <w:r>
        <w:t>The E=1 control uses one expert in both pools and top-k=1. Fixed-depth SUT disables halting explicitly. UT with stick-breaking is distinct from UT with the original ACT rule. Use these names consistently in logs and figures. [1, 2, 9]</w:t>
      </w:r>
    </w:p>
    <w:p>
      <w:r>
        <w:br w:type="page"/>
      </w:r>
    </w:p>
    <w:p>
      <w:pPr>
        <w:pStyle w:val="Heading1"/>
      </w:pPr>
      <w:r>
        <w:t>8 Small MoM design and training fidelity</w:t>
      </w:r>
    </w:p>
    <w:p>
      <w:r>
        <w:t>MoM is not just a Transformer with routed FFNs. Its defining object is an assembly formed by selecting reusable attention and FFN modules over multiple steps. The local model must follow the released assembly operation, including how attention projection parameters are combined. Do not replace it with a weighted sum of independently evaluated full attention blocks unless that is a named ablation.</w:t>
      </w:r>
    </w:p>
    <w:p>
      <w:pPr>
        <w:pStyle w:val="Heading2"/>
      </w:pPr>
      <w:r>
        <w:t>Proposed starting configuration</w:t>
      </w:r>
    </w:p>
    <w:p>
      <w:r>
        <w:t>Start with six donor blocks at width 128 and FFN width 512, yielding six attention and six FFN modules. Use six assembly steps and initially select one module from each pool per step. Retain the reference router state dimension and normalization rules after scaling. Treat selection of two modules and SKIP as later controlled conditions. Record whether the original implementation requires chunks, fixed boundary layers, or a different legal configuration; preserve those requirements in the reference path. [3, 10]</w:t>
      </w:r>
    </w:p>
    <w:p>
      <w:pPr>
        <w:pStyle w:val="Heading2"/>
      </w:pPr>
      <w:r>
        <w:t>Two-phase procedure</w:t>
      </w:r>
    </w:p>
    <w:p>
      <w:r>
        <w:t>Phase 1 trains a dense donor on the allowed training data. Phase 2 transfers its distinct modules into MoM, initializes routers as specified, and continues training modules and routers. Use the same data access and task objective across phases in the task-adapted study. This preserves the two-stage strategy while clearly departing from the paper’s large-corpus language-model pretraining setting.</w:t>
      </w:r>
    </w:p>
    <w:p>
      <w:r>
        <w:t>The essential control continues training the dense donor for the same additional budget. Also train MoM from random initialization under the same total budget to isolate initialization. Count donor training, conversion, and second-stage training in the total cost of each deployment path; if a donor is reused for several experiments, report both amortized and non-amortized cost.</w:t>
      </w:r>
    </w:p>
    <w:p>
      <w:pPr>
        <w:pStyle w:val="Heading2"/>
      </w:pPr>
      <w:r>
        <w:t>Routing and stopping</w:t>
      </w:r>
    </w:p>
    <w:p>
      <w:r>
        <w:t>Preserve separate attention and FFN routing, the GRU decision state, state reset between sequences, score normalization, top-k behavior, and module reuse. SKIP means omitting an operation at an assembly step; it is not permanent halting. A token may skip and compute again later. SUT-style ACT should not be introduced into the reference MoM without labeling it as a new variant.</w:t>
      </w:r>
    </w:p>
    <w:p>
      <w:pPr>
        <w:pStyle w:val="Heading2"/>
      </w:pPr>
      <w:r>
        <w:t>Verification and failure diagnosis</w:t>
      </w:r>
    </w:p>
    <w:p>
      <w:r>
        <w:t>Confirm that transferred module tensors match the donor exactly before training. Verify deterministic assembly on a hand-specified route, repeated access to the same module, and causal masking. Measure module usage collapse and similarity, but do not infer semantic specialization solely from distinct weights.</w:t>
      </w:r>
    </w:p>
    <w:p>
      <w:r>
        <w:t>If the small MoM fails, first test reference parity, donor quality, transfer mapping and router gradients. A failed from-scratch MoM is not evidence against the two-phase method. The earlier suggestion to add routing history is not itself novel: MoM already uses history-aware routers. Any extension must explain what additional information or constraint it introduces beyond that baseline.</w:t>
      </w:r>
    </w:p>
    <w:p>
      <w:r>
        <w:br w:type="page"/>
      </w:r>
    </w:p>
    <w:p>
      <w:pPr>
        <w:pStyle w:val="Heading1"/>
      </w:pPr>
      <w:r>
        <w:t>9 Controlled comparisons and ablations</w:t>
      </w:r>
    </w:p>
    <w:p>
      <w:r>
        <w:t>The family ranking provides breadth. Mechanism comparisons provide attribution. We will not run every possible combination initially; we will preserve the essential controls and expand only when a clear question justifies the expense.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3773"/>
      </w:tblGrid>
      <w:tr>
        <w:trPr>
          <w:cantSplit/>
          <w:tblHeader/>
        </w:trPr>
        <w:tc>
          <w:tcPr>
            <w:tcW w:type="dxa" w:w="2376"/>
            <w:vAlign w:val="center"/>
            <w:shd w:fill="DCE6EF"/>
            <w:tcMar>
              <w:top w:w="70" w:type="dxa"/>
              <w:bottom w:w="70" w:type="dxa"/>
              <w:left w:w="100" w:type="dxa"/>
              <w:right w:w="100" w:type="dxa"/>
            </w:tcMar>
          </w:tcPr>
          <w:p>
            <w:pPr>
              <w:spacing w:after="0" w:line="245" w:lineRule="auto"/>
            </w:pPr>
            <w:r>
              <w:rPr>
                <w:b/>
                <w:sz w:val="19"/>
              </w:rPr>
              <w:t>Comparison</w:t>
            </w:r>
          </w:p>
        </w:tc>
        <w:tc>
          <w:tcPr>
            <w:tcW w:type="dxa" w:w="3600"/>
            <w:vAlign w:val="center"/>
            <w:shd w:fill="DCE6EF"/>
            <w:tcMar>
              <w:top w:w="70" w:type="dxa"/>
              <w:bottom w:w="70" w:type="dxa"/>
              <w:left w:w="100" w:type="dxa"/>
              <w:right w:w="100" w:type="dxa"/>
            </w:tcMar>
          </w:tcPr>
          <w:p>
            <w:pPr>
              <w:spacing w:after="0" w:line="245" w:lineRule="auto"/>
            </w:pPr>
            <w:r>
              <w:rPr>
                <w:b/>
                <w:sz w:val="19"/>
              </w:rPr>
              <w:t>Hold fixed where possible</w:t>
            </w:r>
          </w:p>
        </w:tc>
        <w:tc>
          <w:tcPr>
            <w:tcW w:type="dxa" w:w="3773"/>
            <w:vAlign w:val="center"/>
            <w:shd w:fill="DCE6EF"/>
            <w:tcMar>
              <w:top w:w="70" w:type="dxa"/>
              <w:bottom w:w="70" w:type="dxa"/>
              <w:left w:w="100" w:type="dxa"/>
              <w:right w:w="100" w:type="dxa"/>
            </w:tcMar>
          </w:tcPr>
          <w:p>
            <w:pPr>
              <w:spacing w:after="0" w:line="245" w:lineRule="auto"/>
            </w:pPr>
            <w:r>
              <w:rPr>
                <w:b/>
                <w:sz w:val="19"/>
              </w:rPr>
              <w:t>Question</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Dense versus fixed-depth UT</w:t>
            </w:r>
          </w:p>
        </w:tc>
        <w:tc>
          <w:tcPr>
            <w:tcW w:type="dxa" w:w="3600"/>
            <w:vAlign w:val="center"/>
            <w:shd w:fill="FFFFFF"/>
            <w:tcMar>
              <w:top w:w="70" w:type="dxa"/>
              <w:bottom w:w="70" w:type="dxa"/>
              <w:left w:w="100" w:type="dxa"/>
              <w:right w:w="100" w:type="dxa"/>
            </w:tcMar>
          </w:tcPr>
          <w:p>
            <w:pPr>
              <w:spacing w:after="0" w:line="245" w:lineRule="auto"/>
            </w:pPr>
            <w:r>
              <w:rPr>
                <w:b w:val="0"/>
                <w:sz w:val="19"/>
              </w:rPr>
              <w:t>Width, six executions, task head and training</w:t>
            </w:r>
          </w:p>
        </w:tc>
        <w:tc>
          <w:tcPr>
            <w:tcW w:type="dxa" w:w="3773"/>
            <w:vAlign w:val="center"/>
            <w:shd w:fill="FFFFFF"/>
            <w:tcMar>
              <w:top w:w="70" w:type="dxa"/>
              <w:bottom w:w="70" w:type="dxa"/>
              <w:left w:w="100" w:type="dxa"/>
              <w:right w:w="100" w:type="dxa"/>
            </w:tcMar>
          </w:tcPr>
          <w:p>
            <w:pPr>
              <w:spacing w:after="0" w:line="245" w:lineRule="auto"/>
            </w:pPr>
            <w:r>
              <w:rPr>
                <w:b w:val="0"/>
                <w:sz w:val="19"/>
              </w:rPr>
              <w:t>Benefit or cost of parameter sharing.</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UT fixed versus original ACT versus SB</w:t>
            </w:r>
          </w:p>
        </w:tc>
        <w:tc>
          <w:tcPr>
            <w:tcW w:type="dxa" w:w="3600"/>
            <w:vAlign w:val="center"/>
            <w:shd w:fill="F5F7F9"/>
            <w:tcMar>
              <w:top w:w="70" w:type="dxa"/>
              <w:bottom w:w="70" w:type="dxa"/>
              <w:left w:w="100" w:type="dxa"/>
              <w:right w:w="100" w:type="dxa"/>
            </w:tcMar>
          </w:tcPr>
          <w:p>
            <w:pPr>
              <w:spacing w:after="0" w:line="245" w:lineRule="auto"/>
            </w:pPr>
            <w:r>
              <w:rPr>
                <w:b w:val="0"/>
                <w:sz w:val="19"/>
              </w:rPr>
              <w:t>Shared dense block and task interface</w:t>
            </w:r>
          </w:p>
        </w:tc>
        <w:tc>
          <w:tcPr>
            <w:tcW w:type="dxa" w:w="3773"/>
            <w:vAlign w:val="center"/>
            <w:shd w:fill="F5F7F9"/>
            <w:tcMar>
              <w:top w:w="70" w:type="dxa"/>
              <w:bottom w:w="70" w:type="dxa"/>
              <w:left w:w="100" w:type="dxa"/>
              <w:right w:w="100" w:type="dxa"/>
            </w:tcMar>
          </w:tcPr>
          <w:p>
            <w:pPr>
              <w:spacing w:after="0" w:line="245" w:lineRule="auto"/>
            </w:pPr>
            <w:r>
              <w:rPr>
                <w:b w:val="0"/>
                <w:sz w:val="19"/>
              </w:rPr>
              <w:t>Effect of halting formulation.</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UT fixed versus sparse UT fixed</w:t>
            </w:r>
          </w:p>
        </w:tc>
        <w:tc>
          <w:tcPr>
            <w:tcW w:type="dxa" w:w="3600"/>
            <w:vAlign w:val="center"/>
            <w:shd w:fill="FFFFFF"/>
            <w:tcMar>
              <w:top w:w="70" w:type="dxa"/>
              <w:bottom w:w="70" w:type="dxa"/>
              <w:left w:w="100" w:type="dxa"/>
              <w:right w:w="100" w:type="dxa"/>
            </w:tcMar>
          </w:tcPr>
          <w:p>
            <w:pPr>
              <w:spacing w:after="0" w:line="245" w:lineRule="auto"/>
            </w:pPr>
            <w:r>
              <w:rPr>
                <w:b w:val="0"/>
                <w:sz w:val="19"/>
              </w:rPr>
              <w:t>Shared-depth convention and execution count</w:t>
            </w:r>
          </w:p>
        </w:tc>
        <w:tc>
          <w:tcPr>
            <w:tcW w:type="dxa" w:w="3773"/>
            <w:vAlign w:val="center"/>
            <w:shd w:fill="FFFFFF"/>
            <w:tcMar>
              <w:top w:w="70" w:type="dxa"/>
              <w:bottom w:w="70" w:type="dxa"/>
              <w:left w:w="100" w:type="dxa"/>
              <w:right w:w="100" w:type="dxa"/>
            </w:tcMar>
          </w:tcPr>
          <w:p>
            <w:pPr>
              <w:spacing w:after="0" w:line="245" w:lineRule="auto"/>
            </w:pPr>
            <w:r>
              <w:rPr>
                <w:b w:val="0"/>
                <w:sz w:val="19"/>
              </w:rPr>
              <w:t>Effect of expert multiplicity without adaptive depth.</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Sparse UT fixed versus SUT</w:t>
            </w:r>
          </w:p>
        </w:tc>
        <w:tc>
          <w:tcPr>
            <w:tcW w:type="dxa" w:w="3600"/>
            <w:vAlign w:val="center"/>
            <w:shd w:fill="F5F7F9"/>
            <w:tcMar>
              <w:top w:w="70" w:type="dxa"/>
              <w:bottom w:w="70" w:type="dxa"/>
              <w:left w:w="100" w:type="dxa"/>
              <w:right w:w="100" w:type="dxa"/>
            </w:tcMar>
          </w:tcPr>
          <w:p>
            <w:pPr>
              <w:spacing w:after="0" w:line="245" w:lineRule="auto"/>
            </w:pPr>
            <w:r>
              <w:rPr>
                <w:b w:val="0"/>
                <w:sz w:val="19"/>
              </w:rPr>
              <w:t>Pools, widths and routing objective</w:t>
            </w:r>
          </w:p>
        </w:tc>
        <w:tc>
          <w:tcPr>
            <w:tcW w:type="dxa" w:w="3773"/>
            <w:vAlign w:val="center"/>
            <w:shd w:fill="F5F7F9"/>
            <w:tcMar>
              <w:top w:w="70" w:type="dxa"/>
              <w:bottom w:w="70" w:type="dxa"/>
              <w:left w:w="100" w:type="dxa"/>
              <w:right w:w="100" w:type="dxa"/>
            </w:tcMar>
          </w:tcPr>
          <w:p>
            <w:pPr>
              <w:spacing w:after="0" w:line="245" w:lineRule="auto"/>
            </w:pPr>
            <w:r>
              <w:rPr>
                <w:b w:val="0"/>
                <w:sz w:val="19"/>
              </w:rPr>
              <w:t>Effect of adaptive computation.</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MoA versus grouped attention experts</w:t>
            </w:r>
          </w:p>
        </w:tc>
        <w:tc>
          <w:tcPr>
            <w:tcW w:type="dxa" w:w="3600"/>
            <w:vAlign w:val="center"/>
            <w:shd w:fill="FFFFFF"/>
            <w:tcMar>
              <w:top w:w="70" w:type="dxa"/>
              <w:bottom w:w="70" w:type="dxa"/>
              <w:left w:w="100" w:type="dxa"/>
              <w:right w:w="100" w:type="dxa"/>
            </w:tcMar>
          </w:tcPr>
          <w:p>
            <w:pPr>
              <w:spacing w:after="0" w:line="245" w:lineRule="auto"/>
            </w:pPr>
            <w:r>
              <w:rPr>
                <w:b w:val="0"/>
                <w:sz w:val="19"/>
              </w:rPr>
              <w:t>Active projected width and dense FFN</w:t>
            </w:r>
          </w:p>
        </w:tc>
        <w:tc>
          <w:tcPr>
            <w:tcW w:type="dxa" w:w="3773"/>
            <w:vAlign w:val="center"/>
            <w:shd w:fill="FFFFFF"/>
            <w:tcMar>
              <w:top w:w="70" w:type="dxa"/>
              <w:bottom w:w="70" w:type="dxa"/>
              <w:left w:w="100" w:type="dxa"/>
              <w:right w:w="100" w:type="dxa"/>
            </w:tcMar>
          </w:tcPr>
          <w:p>
            <w:pPr>
              <w:spacing w:after="0" w:line="245" w:lineRule="auto"/>
            </w:pPr>
            <w:r>
              <w:rPr>
                <w:b w:val="0"/>
                <w:sz w:val="19"/>
              </w:rPr>
              <w:t>Effect of multi-head grouping.</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SUT with MIM versus load balancing</w:t>
            </w:r>
          </w:p>
        </w:tc>
        <w:tc>
          <w:tcPr>
            <w:tcW w:type="dxa" w:w="3600"/>
            <w:vAlign w:val="center"/>
            <w:shd w:fill="F5F7F9"/>
            <w:tcMar>
              <w:top w:w="70" w:type="dxa"/>
              <w:bottom w:w="70" w:type="dxa"/>
              <w:left w:w="100" w:type="dxa"/>
              <w:right w:w="100" w:type="dxa"/>
            </w:tcMar>
          </w:tcPr>
          <w:p>
            <w:pPr>
              <w:spacing w:after="0" w:line="245" w:lineRule="auto"/>
            </w:pPr>
            <w:r>
              <w:rPr>
                <w:b w:val="0"/>
                <w:sz w:val="19"/>
              </w:rPr>
              <w:t>Everything except auxiliary objective</w:t>
            </w:r>
          </w:p>
        </w:tc>
        <w:tc>
          <w:tcPr>
            <w:tcW w:type="dxa" w:w="3773"/>
            <w:vAlign w:val="center"/>
            <w:shd w:fill="F5F7F9"/>
            <w:tcMar>
              <w:top w:w="70" w:type="dxa"/>
              <w:bottom w:w="70" w:type="dxa"/>
              <w:left w:w="100" w:type="dxa"/>
              <w:right w:w="100" w:type="dxa"/>
            </w:tcMar>
          </w:tcPr>
          <w:p>
            <w:pPr>
              <w:spacing w:after="0" w:line="245" w:lineRule="auto"/>
            </w:pPr>
            <w:r>
              <w:rPr>
                <w:b w:val="0"/>
                <w:sz w:val="19"/>
              </w:rPr>
              <w:t>Effect of routing regularization.</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SUT with and without ACT penalty</w:t>
            </w:r>
          </w:p>
        </w:tc>
        <w:tc>
          <w:tcPr>
            <w:tcW w:type="dxa" w:w="3600"/>
            <w:vAlign w:val="center"/>
            <w:shd w:fill="FFFFFF"/>
            <w:tcMar>
              <w:top w:w="70" w:type="dxa"/>
              <w:bottom w:w="70" w:type="dxa"/>
              <w:left w:w="100" w:type="dxa"/>
              <w:right w:w="100" w:type="dxa"/>
            </w:tcMar>
          </w:tcPr>
          <w:p>
            <w:pPr>
              <w:spacing w:after="0" w:line="245" w:lineRule="auto"/>
            </w:pPr>
            <w:r>
              <w:rPr>
                <w:b w:val="0"/>
                <w:sz w:val="19"/>
              </w:rPr>
              <w:t>Keep halting enabled</w:t>
            </w:r>
          </w:p>
        </w:tc>
        <w:tc>
          <w:tcPr>
            <w:tcW w:type="dxa" w:w="3773"/>
            <w:vAlign w:val="center"/>
            <w:shd w:fill="FFFFFF"/>
            <w:tcMar>
              <w:top w:w="70" w:type="dxa"/>
              <w:bottom w:w="70" w:type="dxa"/>
              <w:left w:w="100" w:type="dxa"/>
              <w:right w:w="100" w:type="dxa"/>
            </w:tcMar>
          </w:tcPr>
          <w:p>
            <w:pPr>
              <w:spacing w:after="0" w:line="245" w:lineRule="auto"/>
            </w:pPr>
            <w:r>
              <w:rPr>
                <w:b w:val="0"/>
                <w:sz w:val="19"/>
              </w:rPr>
              <w:t>Effect of the incentive to stop earlier.</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MoM versus continued dense donor</w:t>
            </w:r>
          </w:p>
        </w:tc>
        <w:tc>
          <w:tcPr>
            <w:tcW w:type="dxa" w:w="3600"/>
            <w:vAlign w:val="center"/>
            <w:shd w:fill="F5F7F9"/>
            <w:tcMar>
              <w:top w:w="70" w:type="dxa"/>
              <w:bottom w:w="70" w:type="dxa"/>
              <w:left w:w="100" w:type="dxa"/>
              <w:right w:w="100" w:type="dxa"/>
            </w:tcMar>
          </w:tcPr>
          <w:p>
            <w:pPr>
              <w:spacing w:after="0" w:line="245" w:lineRule="auto"/>
            </w:pPr>
            <w:r>
              <w:rPr>
                <w:b w:val="0"/>
                <w:sz w:val="19"/>
              </w:rPr>
              <w:t>Initialization data and total training budget</w:t>
            </w:r>
          </w:p>
        </w:tc>
        <w:tc>
          <w:tcPr>
            <w:tcW w:type="dxa" w:w="3773"/>
            <w:vAlign w:val="center"/>
            <w:shd w:fill="F5F7F9"/>
            <w:tcMar>
              <w:top w:w="70" w:type="dxa"/>
              <w:bottom w:w="70" w:type="dxa"/>
              <w:left w:w="100" w:type="dxa"/>
              <w:right w:w="100" w:type="dxa"/>
            </w:tcMar>
          </w:tcPr>
          <w:p>
            <w:pPr>
              <w:spacing w:after="0" w:line="245" w:lineRule="auto"/>
            </w:pPr>
            <w:r>
              <w:rPr>
                <w:b w:val="0"/>
                <w:sz w:val="19"/>
              </w:rPr>
              <w:t>Benefit of module assembly.</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Learned versus fixed routing</w:t>
            </w:r>
          </w:p>
        </w:tc>
        <w:tc>
          <w:tcPr>
            <w:tcW w:type="dxa" w:w="3600"/>
            <w:vAlign w:val="center"/>
            <w:shd w:fill="FFFFFF"/>
            <w:tcMar>
              <w:top w:w="70" w:type="dxa"/>
              <w:bottom w:w="70" w:type="dxa"/>
              <w:left w:w="100" w:type="dxa"/>
              <w:right w:w="100" w:type="dxa"/>
            </w:tcMar>
          </w:tcPr>
          <w:p>
            <w:pPr>
              <w:spacing w:after="0" w:line="245" w:lineRule="auto"/>
            </w:pPr>
            <w:r>
              <w:rPr>
                <w:b w:val="0"/>
                <w:sz w:val="19"/>
              </w:rPr>
              <w:t>Pools, selection count and dispatch</w:t>
            </w:r>
          </w:p>
        </w:tc>
        <w:tc>
          <w:tcPr>
            <w:tcW w:type="dxa" w:w="3773"/>
            <w:vAlign w:val="center"/>
            <w:shd w:fill="FFFFFF"/>
            <w:tcMar>
              <w:top w:w="70" w:type="dxa"/>
              <w:bottom w:w="70" w:type="dxa"/>
              <w:left w:w="100" w:type="dxa"/>
              <w:right w:w="100" w:type="dxa"/>
            </w:tcMar>
          </w:tcPr>
          <w:p>
            <w:pPr>
              <w:spacing w:after="0" w:line="245" w:lineRule="auto"/>
            </w:pPr>
            <w:r>
              <w:rPr>
                <w:b w:val="0"/>
                <w:sz w:val="19"/>
              </w:rPr>
              <w:t>Benefit of input-dependent learned selection.</w:t>
            </w:r>
          </w:p>
        </w:tc>
      </w:tr>
    </w:tbl>
    <w:p>
      <w:pPr>
        <w:spacing w:after="20"/>
      </w:pPr>
    </w:p>
    <w:p>
      <w:r>
        <w:t>For the head-grouping comparison, define the attention budget explicitly. Selecting four individual 32-dimensional experts and selecting two experts each containing two 32-dimensional heads both activate 128 head dimensions. This does not match all projection parameters or routing overhead; measure and report the remaining differences. A second comparison may match total head capacity, changing the pool sizes accordingly.</w:t>
      </w:r>
    </w:p>
    <w:p>
      <w:pPr>
        <w:pStyle w:val="Heading2"/>
      </w:pPr>
      <w:r>
        <w:t>Expert count study</w:t>
      </w:r>
    </w:p>
    <w:p>
      <w:r>
        <w:t>Include one expert, the proposed small pool, and a larger pool only after the core screen. Study E in {1, 4, 8} while holding active FFN work and active attention width approximately fixed. A separate E=1, k=1 control with unchanged per-expert width answers a different question and should not be presented as compute matched. Use validation to choose pool size; preserve the possibility that E=1 wins.</w:t>
      </w:r>
    </w:p>
    <w:p>
      <w:pPr>
        <w:pStyle w:val="Heading2"/>
      </w:pPr>
      <w:r>
        <w:t>Frozen routing controls</w:t>
      </w:r>
    </w:p>
    <w:p>
      <w:r>
        <w:t>Use a deterministic frozen router whose output depends on the observed input, with the same top-k and pool access, plus a fixed cyclic route where appropriate. Balance usage as a control property rather than letting avoidable expert starvation make it weak. Report differences in router overhead or trainable parameter count. Do not give random controls hidden regimes or parse annotations.</w:t>
      </w:r>
    </w:p>
    <w:p>
      <w:r>
        <w:t>Apply auxiliary losses in the source-faithful form first. A common loss across models is a useful secondary control, not automatically a fair replacement for each method’s training strategy.</w:t>
      </w:r>
    </w:p>
    <w:p>
      <w:r>
        <w:br w:type="page"/>
      </w:r>
    </w:p>
    <w:p>
      <w:pPr>
        <w:pStyle w:val="Heading1"/>
      </w:pPr>
      <w:r>
        <w:t>10 Fairness and measurement protocol</w:t>
      </w:r>
    </w:p>
    <w:p>
      <w:r>
        <w:t>Width, depth, total parameters, active arithmetic, and runtime cannot generally all be matched at once. We will answer different questions with separate comparison panels rather than describe one imperfectly matched experiment as universally fair.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3773"/>
      </w:tblGrid>
      <w:tr>
        <w:trPr>
          <w:cantSplit/>
          <w:tblHeader/>
        </w:trPr>
        <w:tc>
          <w:tcPr>
            <w:tcW w:type="dxa" w:w="2376"/>
            <w:vAlign w:val="center"/>
            <w:shd w:fill="DCE6EF"/>
            <w:tcMar>
              <w:top w:w="70" w:type="dxa"/>
              <w:bottom w:w="70" w:type="dxa"/>
              <w:left w:w="100" w:type="dxa"/>
              <w:right w:w="100" w:type="dxa"/>
            </w:tcMar>
          </w:tcPr>
          <w:p>
            <w:pPr>
              <w:spacing w:after="0" w:line="245" w:lineRule="auto"/>
            </w:pPr>
            <w:r>
              <w:rPr>
                <w:b/>
                <w:sz w:val="19"/>
              </w:rPr>
              <w:t>Panel</w:t>
            </w:r>
          </w:p>
        </w:tc>
        <w:tc>
          <w:tcPr>
            <w:tcW w:type="dxa" w:w="3600"/>
            <w:vAlign w:val="center"/>
            <w:shd w:fill="DCE6EF"/>
            <w:tcMar>
              <w:top w:w="70" w:type="dxa"/>
              <w:bottom w:w="70" w:type="dxa"/>
              <w:left w:w="100" w:type="dxa"/>
              <w:right w:w="100" w:type="dxa"/>
            </w:tcMar>
          </w:tcPr>
          <w:p>
            <w:pPr>
              <w:spacing w:after="0" w:line="245" w:lineRule="auto"/>
            </w:pPr>
            <w:r>
              <w:rPr>
                <w:b/>
                <w:sz w:val="19"/>
              </w:rPr>
              <w:t>Primary constraint</w:t>
            </w:r>
          </w:p>
        </w:tc>
        <w:tc>
          <w:tcPr>
            <w:tcW w:type="dxa" w:w="3773"/>
            <w:vAlign w:val="center"/>
            <w:shd w:fill="DCE6EF"/>
            <w:tcMar>
              <w:top w:w="70" w:type="dxa"/>
              <w:bottom w:w="70" w:type="dxa"/>
              <w:left w:w="100" w:type="dxa"/>
              <w:right w:w="100" w:type="dxa"/>
            </w:tcMar>
          </w:tcPr>
          <w:p>
            <w:pPr>
              <w:spacing w:after="0" w:line="245" w:lineRule="auto"/>
            </w:pPr>
            <w:r>
              <w:rPr>
                <w:b/>
                <w:sz w:val="19"/>
              </w:rPr>
              <w:t>What may vary</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Common backbone</w:t>
            </w:r>
          </w:p>
        </w:tc>
        <w:tc>
          <w:tcPr>
            <w:tcW w:type="dxa" w:w="3600"/>
            <w:vAlign w:val="center"/>
            <w:shd w:fill="FFFFFF"/>
            <w:tcMar>
              <w:top w:w="70" w:type="dxa"/>
              <w:bottom w:w="70" w:type="dxa"/>
              <w:left w:w="100" w:type="dxa"/>
              <w:right w:w="100" w:type="dxa"/>
            </w:tcMar>
          </w:tcPr>
          <w:p>
            <w:pPr>
              <w:spacing w:after="0" w:line="245" w:lineRule="auto"/>
            </w:pPr>
            <w:r>
              <w:rPr>
                <w:b w:val="0"/>
                <w:sz w:val="19"/>
              </w:rPr>
              <w:t>Same width, execution cap, input and task head</w:t>
            </w:r>
          </w:p>
        </w:tc>
        <w:tc>
          <w:tcPr>
            <w:tcW w:type="dxa" w:w="3773"/>
            <w:vAlign w:val="center"/>
            <w:shd w:fill="FFFFFF"/>
            <w:tcMar>
              <w:top w:w="70" w:type="dxa"/>
              <w:bottom w:w="70" w:type="dxa"/>
              <w:left w:w="100" w:type="dxa"/>
              <w:right w:w="100" w:type="dxa"/>
            </w:tcMar>
          </w:tcPr>
          <w:p>
            <w:pPr>
              <w:spacing w:after="0" w:line="245" w:lineRule="auto"/>
            </w:pPr>
            <w:r>
              <w:rPr>
                <w:b w:val="0"/>
                <w:sz w:val="19"/>
              </w:rPr>
              <w:t>Total parameters, expert pool capacity and adaptive work.</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Active arithmetic matched</w:t>
            </w:r>
          </w:p>
        </w:tc>
        <w:tc>
          <w:tcPr>
            <w:tcW w:type="dxa" w:w="3600"/>
            <w:vAlign w:val="center"/>
            <w:shd w:fill="F5F7F9"/>
            <w:tcMar>
              <w:top w:w="70" w:type="dxa"/>
              <w:bottom w:w="70" w:type="dxa"/>
              <w:left w:w="100" w:type="dxa"/>
              <w:right w:w="100" w:type="dxa"/>
            </w:tcMar>
          </w:tcPr>
          <w:p>
            <w:pPr>
              <w:spacing w:after="0" w:line="245" w:lineRule="auto"/>
            </w:pPr>
            <w:r>
              <w:rPr>
                <w:b w:val="0"/>
                <w:sz w:val="19"/>
              </w:rPr>
              <w:t>Similar MAC estimate at fixed length and batch</w:t>
            </w:r>
          </w:p>
        </w:tc>
        <w:tc>
          <w:tcPr>
            <w:tcW w:type="dxa" w:w="3773"/>
            <w:vAlign w:val="center"/>
            <w:shd w:fill="F5F7F9"/>
            <w:tcMar>
              <w:top w:w="70" w:type="dxa"/>
              <w:bottom w:w="70" w:type="dxa"/>
              <w:left w:w="100" w:type="dxa"/>
              <w:right w:w="100" w:type="dxa"/>
            </w:tcMar>
          </w:tcPr>
          <w:p>
            <w:pPr>
              <w:spacing w:after="0" w:line="245" w:lineRule="auto"/>
            </w:pPr>
            <w:r>
              <w:rPr>
                <w:b w:val="0"/>
                <w:sz w:val="19"/>
              </w:rPr>
              <w:t>Width, expert hidden size, pool count or depth.</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Total parameter matched</w:t>
            </w:r>
          </w:p>
        </w:tc>
        <w:tc>
          <w:tcPr>
            <w:tcW w:type="dxa" w:w="3600"/>
            <w:vAlign w:val="center"/>
            <w:shd w:fill="FFFFFF"/>
            <w:tcMar>
              <w:top w:w="70" w:type="dxa"/>
              <w:bottom w:w="70" w:type="dxa"/>
              <w:left w:w="100" w:type="dxa"/>
              <w:right w:w="100" w:type="dxa"/>
            </w:tcMar>
          </w:tcPr>
          <w:p>
            <w:pPr>
              <w:spacing w:after="0" w:line="245" w:lineRule="auto"/>
            </w:pPr>
            <w:r>
              <w:rPr>
                <w:b w:val="0"/>
                <w:sz w:val="19"/>
              </w:rPr>
              <w:t>Similar total trainable parameters</w:t>
            </w:r>
          </w:p>
        </w:tc>
        <w:tc>
          <w:tcPr>
            <w:tcW w:type="dxa" w:w="3773"/>
            <w:vAlign w:val="center"/>
            <w:shd w:fill="FFFFFF"/>
            <w:tcMar>
              <w:top w:w="70" w:type="dxa"/>
              <w:bottom w:w="70" w:type="dxa"/>
              <w:left w:w="100" w:type="dxa"/>
              <w:right w:w="100" w:type="dxa"/>
            </w:tcMar>
          </w:tcPr>
          <w:p>
            <w:pPr>
              <w:spacing w:after="0" w:line="245" w:lineRule="auto"/>
            </w:pPr>
            <w:r>
              <w:rPr>
                <w:b w:val="0"/>
                <w:sz w:val="19"/>
              </w:rPr>
              <w:t>Active arithmetic and runtime.</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Deployment trade-off</w:t>
            </w:r>
          </w:p>
        </w:tc>
        <w:tc>
          <w:tcPr>
            <w:tcW w:type="dxa" w:w="3600"/>
            <w:vAlign w:val="center"/>
            <w:shd w:fill="F5F7F9"/>
            <w:tcMar>
              <w:top w:w="70" w:type="dxa"/>
              <w:bottom w:w="70" w:type="dxa"/>
              <w:left w:w="100" w:type="dxa"/>
              <w:right w:w="100" w:type="dxa"/>
            </w:tcMar>
          </w:tcPr>
          <w:p>
            <w:pPr>
              <w:spacing w:after="0" w:line="245" w:lineRule="auto"/>
            </w:pPr>
            <w:r>
              <w:rPr>
                <w:b w:val="0"/>
                <w:sz w:val="19"/>
              </w:rPr>
              <w:t>Same device, precision and workload</w:t>
            </w:r>
          </w:p>
        </w:tc>
        <w:tc>
          <w:tcPr>
            <w:tcW w:type="dxa" w:w="3773"/>
            <w:vAlign w:val="center"/>
            <w:shd w:fill="F5F7F9"/>
            <w:tcMar>
              <w:top w:w="70" w:type="dxa"/>
              <w:bottom w:w="70" w:type="dxa"/>
              <w:left w:w="100" w:type="dxa"/>
              <w:right w:w="100" w:type="dxa"/>
            </w:tcMar>
          </w:tcPr>
          <w:p>
            <w:pPr>
              <w:spacing w:after="0" w:line="245" w:lineRule="auto"/>
            </w:pPr>
            <w:r>
              <w:rPr>
                <w:b w:val="0"/>
                <w:sz w:val="19"/>
              </w:rPr>
              <w:t>Accuracy versus measured latency and memory.</w:t>
            </w:r>
          </w:p>
        </w:tc>
      </w:tr>
    </w:tbl>
    <w:p>
      <w:pPr>
        <w:spacing w:after="20"/>
      </w:pPr>
    </w:p>
    <w:p>
      <w:r>
        <w:t>For matching, search legal configurations before training using architecture counts. Aim initially for a mismatch below 5 percent where feasible; report the actual mismatch and do not quietly widen the tolerance. Dense total-capacity controls may be wider or deeper and therefore answer a different question from the common-backbone comparison.</w:t>
      </w:r>
    </w:p>
    <w:p>
      <w:pPr>
        <w:pStyle w:val="Heading2"/>
      </w:pPr>
      <w:r>
        <w:t>Report what the implementation actually executes</w:t>
      </w:r>
    </w:p>
    <w:p>
      <w:r>
        <w:t>Count projection, attention score/value, FFN, router and readout work. A MAC convention must be explicit; do not equate active parameter counts with FLOPs. Sparse selection computed through a dense tensor path receives the cost of that dense execution. Profile several sequence lengths because quadratic attention changes the ranking. Halting statistics include active tokens by step, maximum step, and distribution across examples.</w:t>
      </w:r>
    </w:p>
    <w:p>
      <w:r>
        <w:t>Measure latency after warm-up with synchronized device timing, a fixed precision and batch size, repeated trials, and a stated hardware/software configuration. Report batch-one latency and a throughput-oriented batch separately. Include dispatch and data movement. Training cost includes forward/backward passes and both MoM phases; inference cost excludes training but includes routing. If sparse execution is slower at toy scale, report that result.</w:t>
      </w:r>
    </w:p>
    <w:p>
      <w:pPr>
        <w:pStyle w:val="Heading2"/>
      </w:pPr>
      <w:r>
        <w:t>Common training exposure</w:t>
      </w:r>
    </w:p>
    <w:p>
      <w:r>
        <w:t>Use the same permitted examples and a matched maximum token/update budget within each controlled panel. Hold vocabulary, mask, loss masking, dropout policy, optimizer family, and evaluation frequency fixed unless the source strategy requires a deliberate exception. Use equal tuning opportunity rather than assuming one learning rate is equally suitable for all architectures.</w:t>
      </w:r>
    </w:p>
    <w:p>
      <w:r>
        <w:t>Match shared initial tensors where shapes and roles genuinely coincide. Do not force identical modules in MoM to obtain initialization parity: that would remove the distinct donor modules its training strategy is designed to preserve. Parameter sharing, active work and training exposure each require their own recorded control.</w:t>
      </w:r>
    </w:p>
    <w:p>
      <w:r>
        <w:br w:type="page"/>
      </w:r>
    </w:p>
    <w:p>
      <w:pPr>
        <w:pStyle w:val="Heading1"/>
      </w:pPr>
      <w:r>
        <w:t>11 Training selection and run budget</w:t>
      </w:r>
    </w:p>
    <w:p>
      <w:pPr>
        <w:pStyle w:val="Heading2"/>
      </w:pPr>
      <w:r>
        <w:t>Optimization and checkpoint selection</w:t>
      </w:r>
    </w:p>
    <w:p>
      <w:r>
        <w:t>For the common-backbone pilot, use AdamW, gradient clipping, a warm-up followed by a fixed schedule, and FP32 correctness runs. Proposed learning-rate candidates are 0.0003 and 0.001; choose auxiliary-loss coefficients only from a prespecified validation grid. Copy reference defaults for faithful paths first. Freeze optimizer details, phase allocation, early-stopping patience, and evaluation intervals before confirmation.</w:t>
      </w:r>
    </w:p>
    <w:p>
      <w:r>
        <w:t>The project currently requires checkpoint selection by validation MSE only. For continuous prediction this is the ordinary regression MSE. For seven-class inference, use the mean squared error of the seven predicted probabilities against one-hot labels, a Brier-style score, while training the task head with cross-entropy. For a generative wrapper, normalize over the seven legal relation tokens at the target position and record invalid unrestricted outputs separately. This selection rule is a project adaptation, not a claim about the original papers.</w:t>
      </w:r>
    </w:p>
    <w:p>
      <w:r>
        <w:t>Select all hyperparameters and checkpoints from validation data only. Report test accuracy, macro-F1, confusion matrices, per-length results, and probability calibration without using them to revise selection. Exclude auxiliary penalties from the validation task score used for selection. If a different selection rule is desired, revise the project protocol explicitly before implementation rather than silently changing it.</w:t>
      </w:r>
    </w:p>
    <w:p>
      <w:pPr>
        <w:pStyle w:val="Heading2"/>
      </w:pPr>
      <w:r>
        <w:t>Staged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3773"/>
      </w:tblGrid>
      <w:tr>
        <w:trPr>
          <w:cantSplit/>
          <w:tblHeader/>
        </w:trPr>
        <w:tc>
          <w:tcPr>
            <w:tcW w:type="dxa" w:w="2376"/>
            <w:vAlign w:val="center"/>
            <w:shd w:fill="DCE6EF"/>
            <w:tcMar>
              <w:top w:w="70" w:type="dxa"/>
              <w:bottom w:w="70" w:type="dxa"/>
              <w:left w:w="100" w:type="dxa"/>
              <w:right w:w="100" w:type="dxa"/>
            </w:tcMar>
          </w:tcPr>
          <w:p>
            <w:pPr>
              <w:spacing w:after="0" w:line="245" w:lineRule="auto"/>
            </w:pPr>
            <w:r>
              <w:rPr>
                <w:b/>
                <w:sz w:val="19"/>
              </w:rPr>
              <w:t>Stage</w:t>
            </w:r>
          </w:p>
        </w:tc>
        <w:tc>
          <w:tcPr>
            <w:tcW w:type="dxa" w:w="3600"/>
            <w:vAlign w:val="center"/>
            <w:shd w:fill="DCE6EF"/>
            <w:tcMar>
              <w:top w:w="70" w:type="dxa"/>
              <w:bottom w:w="70" w:type="dxa"/>
              <w:left w:w="100" w:type="dxa"/>
              <w:right w:w="100" w:type="dxa"/>
            </w:tcMar>
          </w:tcPr>
          <w:p>
            <w:pPr>
              <w:spacing w:after="0" w:line="245" w:lineRule="auto"/>
            </w:pPr>
            <w:r>
              <w:rPr>
                <w:b/>
                <w:sz w:val="19"/>
              </w:rPr>
              <w:t>Scope</w:t>
            </w:r>
          </w:p>
        </w:tc>
        <w:tc>
          <w:tcPr>
            <w:tcW w:type="dxa" w:w="3773"/>
            <w:vAlign w:val="center"/>
            <w:shd w:fill="DCE6EF"/>
            <w:tcMar>
              <w:top w:w="70" w:type="dxa"/>
              <w:bottom w:w="70" w:type="dxa"/>
              <w:left w:w="100" w:type="dxa"/>
              <w:right w:w="100" w:type="dxa"/>
            </w:tcMar>
          </w:tcPr>
          <w:p>
            <w:pPr>
              <w:spacing w:after="0" w:line="245" w:lineRule="auto"/>
            </w:pPr>
            <w:r>
              <w:rPr>
                <w:b/>
                <w:sz w:val="19"/>
              </w:rPr>
              <w:t>Exit condition</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Source and data audit</w:t>
            </w:r>
          </w:p>
        </w:tc>
        <w:tc>
          <w:tcPr>
            <w:tcW w:type="dxa" w:w="3600"/>
            <w:vAlign w:val="center"/>
            <w:shd w:fill="FFFFFF"/>
            <w:tcMar>
              <w:top w:w="70" w:type="dxa"/>
              <w:bottom w:w="70" w:type="dxa"/>
              <w:left w:w="100" w:type="dxa"/>
              <w:right w:w="100" w:type="dxa"/>
            </w:tcMar>
          </w:tcPr>
          <w:p>
            <w:pPr>
              <w:spacing w:after="0" w:line="245" w:lineRule="auto"/>
            </w:pPr>
            <w:r>
              <w:rPr>
                <w:b w:val="0"/>
                <w:sz w:val="19"/>
              </w:rPr>
              <w:t>SUT, MoM, split construction and label checker</w:t>
            </w:r>
          </w:p>
        </w:tc>
        <w:tc>
          <w:tcPr>
            <w:tcW w:type="dxa" w:w="3773"/>
            <w:vAlign w:val="center"/>
            <w:shd w:fill="FFFFFF"/>
            <w:tcMar>
              <w:top w:w="70" w:type="dxa"/>
              <w:bottom w:w="70" w:type="dxa"/>
              <w:left w:w="100" w:type="dxa"/>
              <w:right w:w="100" w:type="dxa"/>
            </w:tcMar>
          </w:tcPr>
          <w:p>
            <w:pPr>
              <w:spacing w:after="0" w:line="245" w:lineRule="auto"/>
            </w:pPr>
            <w:r>
              <w:rPr>
                <w:b w:val="0"/>
                <w:sz w:val="19"/>
              </w:rPr>
              <w:t>Traceable versions and validated examples.</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Smoke</w:t>
            </w:r>
          </w:p>
        </w:tc>
        <w:tc>
          <w:tcPr>
            <w:tcW w:type="dxa" w:w="3600"/>
            <w:vAlign w:val="center"/>
            <w:shd w:fill="F5F7F9"/>
            <w:tcMar>
              <w:top w:w="70" w:type="dxa"/>
              <w:bottom w:w="70" w:type="dxa"/>
              <w:left w:w="100" w:type="dxa"/>
              <w:right w:w="100" w:type="dxa"/>
            </w:tcMar>
          </w:tcPr>
          <w:p>
            <w:pPr>
              <w:spacing w:after="0" w:line="245" w:lineRule="auto"/>
            </w:pPr>
            <w:r>
              <w:rPr>
                <w:b w:val="0"/>
                <w:sz w:val="19"/>
              </w:rPr>
              <w:t>All seven families on tiny data</w:t>
            </w:r>
          </w:p>
        </w:tc>
        <w:tc>
          <w:tcPr>
            <w:tcW w:type="dxa" w:w="3773"/>
            <w:vAlign w:val="center"/>
            <w:shd w:fill="F5F7F9"/>
            <w:tcMar>
              <w:top w:w="70" w:type="dxa"/>
              <w:bottom w:w="70" w:type="dxa"/>
              <w:left w:w="100" w:type="dxa"/>
              <w:right w:w="100" w:type="dxa"/>
            </w:tcMar>
          </w:tcPr>
          <w:p>
            <w:pPr>
              <w:spacing w:after="0" w:line="245" w:lineRule="auto"/>
            </w:pPr>
            <w:r>
              <w:rPr>
                <w:b w:val="0"/>
                <w:sz w:val="19"/>
              </w:rPr>
              <w:t>Finite gradients, correct routes and losses; runnable notebooks.</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Learning check</w:t>
            </w:r>
          </w:p>
        </w:tc>
        <w:tc>
          <w:tcPr>
            <w:tcW w:type="dxa" w:w="3600"/>
            <w:vAlign w:val="center"/>
            <w:shd w:fill="FFFFFF"/>
            <w:tcMar>
              <w:top w:w="70" w:type="dxa"/>
              <w:bottom w:w="70" w:type="dxa"/>
              <w:left w:w="100" w:type="dxa"/>
              <w:right w:w="100" w:type="dxa"/>
            </w:tcMar>
          </w:tcPr>
          <w:p>
            <w:pPr>
              <w:spacing w:after="0" w:line="245" w:lineRule="auto"/>
            </w:pPr>
            <w:r>
              <w:rPr>
                <w:b w:val="0"/>
                <w:sz w:val="19"/>
              </w:rPr>
              <w:t>Each model on a tiny fixed training set</w:t>
            </w:r>
          </w:p>
        </w:tc>
        <w:tc>
          <w:tcPr>
            <w:tcW w:type="dxa" w:w="3773"/>
            <w:vAlign w:val="center"/>
            <w:shd w:fill="FFFFFF"/>
            <w:tcMar>
              <w:top w:w="70" w:type="dxa"/>
              <w:bottom w:w="70" w:type="dxa"/>
              <w:left w:w="100" w:type="dxa"/>
              <w:right w:w="100" w:type="dxa"/>
            </w:tcMar>
          </w:tcPr>
          <w:p>
            <w:pPr>
              <w:spacing w:after="0" w:line="245" w:lineRule="auto"/>
            </w:pPr>
            <w:r>
              <w:rPr>
                <w:b w:val="0"/>
                <w:sz w:val="19"/>
              </w:rPr>
              <w:t>Fits the set sufficiently to rule out basic optimization bugs.</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Screen</w:t>
            </w:r>
          </w:p>
        </w:tc>
        <w:tc>
          <w:tcPr>
            <w:tcW w:type="dxa" w:w="3600"/>
            <w:vAlign w:val="center"/>
            <w:shd w:fill="F5F7F9"/>
            <w:tcMar>
              <w:top w:w="70" w:type="dxa"/>
              <w:bottom w:w="70" w:type="dxa"/>
              <w:left w:w="100" w:type="dxa"/>
              <w:right w:w="100" w:type="dxa"/>
            </w:tcMar>
          </w:tcPr>
          <w:p>
            <w:pPr>
              <w:spacing w:after="0" w:line="245" w:lineRule="auto"/>
            </w:pPr>
            <w:r>
              <w:rPr>
                <w:b w:val="0"/>
                <w:sz w:val="19"/>
              </w:rPr>
              <w:t>Seven families, three initialization seeds, L0 and length evaluation</w:t>
            </w:r>
          </w:p>
        </w:tc>
        <w:tc>
          <w:tcPr>
            <w:tcW w:type="dxa" w:w="3773"/>
            <w:vAlign w:val="center"/>
            <w:shd w:fill="F5F7F9"/>
            <w:tcMar>
              <w:top w:w="70" w:type="dxa"/>
              <w:bottom w:w="70" w:type="dxa"/>
              <w:left w:w="100" w:type="dxa"/>
              <w:right w:w="100" w:type="dxa"/>
            </w:tcMar>
          </w:tcPr>
          <w:p>
            <w:pPr>
              <w:spacing w:after="0" w:line="245" w:lineRule="auto"/>
            </w:pPr>
            <w:r>
              <w:rPr>
                <w:b w:val="0"/>
                <w:sz w:val="19"/>
              </w:rPr>
              <w:t>Validation comparisons and resource measurements.</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Confirm</w:t>
            </w:r>
          </w:p>
        </w:tc>
        <w:tc>
          <w:tcPr>
            <w:tcW w:type="dxa" w:w="3600"/>
            <w:vAlign w:val="center"/>
            <w:shd w:fill="FFFFFF"/>
            <w:tcMar>
              <w:top w:w="70" w:type="dxa"/>
              <w:bottom w:w="70" w:type="dxa"/>
              <w:left w:w="100" w:type="dxa"/>
              <w:right w:w="100" w:type="dxa"/>
            </w:tcMar>
          </w:tcPr>
          <w:p>
            <w:pPr>
              <w:spacing w:after="0" w:line="245" w:lineRule="auto"/>
            </w:pPr>
            <w:r>
              <w:rPr>
                <w:b w:val="0"/>
                <w:sz w:val="19"/>
              </w:rPr>
              <w:t>Two selected candidates plus dense and UT controls, five seeds</w:t>
            </w:r>
          </w:p>
        </w:tc>
        <w:tc>
          <w:tcPr>
            <w:tcW w:type="dxa" w:w="3773"/>
            <w:vAlign w:val="center"/>
            <w:shd w:fill="FFFFFF"/>
            <w:tcMar>
              <w:top w:w="70" w:type="dxa"/>
              <w:bottom w:w="70" w:type="dxa"/>
              <w:left w:w="100" w:type="dxa"/>
              <w:right w:w="100" w:type="dxa"/>
            </w:tcMar>
          </w:tcPr>
          <w:p>
            <w:pPr>
              <w:spacing w:after="0" w:line="245" w:lineRule="auto"/>
            </w:pPr>
            <w:r>
              <w:rPr>
                <w:b w:val="0"/>
                <w:sz w:val="19"/>
              </w:rPr>
              <w:t>Locked configurations and paired final results.</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Composition</w:t>
            </w:r>
          </w:p>
        </w:tc>
        <w:tc>
          <w:tcPr>
            <w:tcW w:type="dxa" w:w="3600"/>
            <w:vAlign w:val="center"/>
            <w:shd w:fill="F5F7F9"/>
            <w:tcMar>
              <w:top w:w="70" w:type="dxa"/>
              <w:bottom w:w="70" w:type="dxa"/>
              <w:left w:w="100" w:type="dxa"/>
              <w:right w:w="100" w:type="dxa"/>
            </w:tcMar>
          </w:tcPr>
          <w:p>
            <w:pPr>
              <w:spacing w:after="0" w:line="245" w:lineRule="auto"/>
            </w:pPr>
            <w:r>
              <w:rPr>
                <w:b w:val="0"/>
                <w:sz w:val="19"/>
              </w:rPr>
              <w:t>Confirmed models on A/B/C and controlled C2</w:t>
            </w:r>
          </w:p>
        </w:tc>
        <w:tc>
          <w:tcPr>
            <w:tcW w:type="dxa" w:w="3773"/>
            <w:vAlign w:val="center"/>
            <w:shd w:fill="F5F7F9"/>
            <w:tcMar>
              <w:top w:w="70" w:type="dxa"/>
              <w:bottom w:w="70" w:type="dxa"/>
              <w:left w:w="100" w:type="dxa"/>
              <w:right w:w="100" w:type="dxa"/>
            </w:tcMar>
          </w:tcPr>
          <w:p>
            <w:pPr>
              <w:spacing w:after="0" w:line="245" w:lineRule="auto"/>
            </w:pPr>
            <w:r>
              <w:rPr>
                <w:b w:val="0"/>
                <w:sz w:val="19"/>
              </w:rPr>
              <w:t>Generalization profile with label and length breakdowns.</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Transfer</w:t>
            </w:r>
          </w:p>
        </w:tc>
        <w:tc>
          <w:tcPr>
            <w:tcW w:type="dxa" w:w="3600"/>
            <w:vAlign w:val="center"/>
            <w:shd w:fill="FFFFFF"/>
            <w:tcMar>
              <w:top w:w="70" w:type="dxa"/>
              <w:bottom w:w="70" w:type="dxa"/>
              <w:left w:w="100" w:type="dxa"/>
              <w:right w:w="100" w:type="dxa"/>
            </w:tcMar>
          </w:tcPr>
          <w:p>
            <w:pPr>
              <w:spacing w:after="0" w:line="245" w:lineRule="auto"/>
            </w:pPr>
            <w:r>
              <w:rPr>
                <w:b w:val="0"/>
                <w:sz w:val="19"/>
              </w:rPr>
              <w:t>Confirmed models on dynamics</w:t>
            </w:r>
          </w:p>
        </w:tc>
        <w:tc>
          <w:tcPr>
            <w:tcW w:type="dxa" w:w="3773"/>
            <w:vAlign w:val="center"/>
            <w:shd w:fill="FFFFFF"/>
            <w:tcMar>
              <w:top w:w="70" w:type="dxa"/>
              <w:bottom w:w="70" w:type="dxa"/>
              <w:left w:w="100" w:type="dxa"/>
              <w:right w:w="100" w:type="dxa"/>
            </w:tcMar>
          </w:tcPr>
          <w:p>
            <w:pPr>
              <w:spacing w:after="0" w:line="245" w:lineRule="auto"/>
            </w:pPr>
            <w:r>
              <w:rPr>
                <w:b w:val="0"/>
                <w:sz w:val="19"/>
              </w:rPr>
              <w:t>Evidence of transfer or a documented task limitation.</w:t>
            </w:r>
          </w:p>
        </w:tc>
      </w:tr>
    </w:tbl>
    <w:p>
      <w:pPr>
        <w:spacing w:after="20"/>
      </w:pPr>
    </w:p>
    <w:p>
      <w:r>
        <w:t>Seven families times three seeds gives 21 screening trajectories; MoM trajectories contain two phases. Four confirmation families times five seeds times four training regimes gives up to 80 trajectories if length and A/B/C require separate training sets. Tuning trials, reference parity runs, ablations, and dynamics are additional. This is a budget estimate, not a commitment to launch all runs.</w:t>
      </w:r>
    </w:p>
    <w:p>
      <w:r>
        <w:t>Estimate runtime from a short measured pilot, then allocate a hardware budget. CPU-only operation supports correctness checks; substantive scale and schedule remain contingent on available GPU resources.</w:t>
      </w:r>
    </w:p>
    <w:p>
      <w:r>
        <w:br w:type="page"/>
      </w:r>
    </w:p>
    <w:p>
      <w:pPr>
        <w:pStyle w:val="Heading1"/>
      </w:pPr>
      <w:r>
        <w:t>12 Analysis and evidence for a new structure</w:t>
      </w:r>
    </w:p>
    <w:p>
      <w:pPr>
        <w:pStyle w:val="Heading2"/>
      </w:pPr>
      <w:r>
        <w:t>Performance analysis</w:t>
      </w:r>
    </w:p>
    <w:p>
      <w:r>
        <w:t>Fix one published dataset split for the primary initialization-seed comparison. Pair model runs by data partition and training seed where possible. Report seed-level scores, mean differences, spread and confidence intervals with their assumptions. Repeated predictions on the same test examples are not independent training replications. If data-generation seeds vary, analyze that source of variation separately.</w:t>
      </w:r>
    </w:p>
    <w:p>
      <w:r>
        <w:t>Use curves rather than only an overall mean: accuracy by operator count and tree depth; error by label; accuracy against active depth, MACs and latency; and dynamics error around regime changes. Present all prespecified comparisons and failures. With few seeds and many models, avoid claiming significance from a selected favorable comparison.</w:t>
      </w:r>
    </w:p>
    <w:p>
      <w:pPr>
        <w:pStyle w:val="Heading2"/>
      </w:pPr>
      <w:r>
        <w:t>Routing and computation analysis</w:t>
      </w:r>
    </w:p>
    <w:p>
      <w:r>
        <w:t>Collect expert/module frequencies, token-conditioned routing entropy, dead-expert rates, route changes across depth, module reuse, halting distributions and overflow counts. Relate routes to operator identity and syntactic depth only as diagnostic associations. Compare learned routes with fixed-router controls and control for token frequency, expression length and label imbalance.</w:t>
      </w:r>
    </w:p>
    <w:p>
      <w:r>
        <w:t>Attention maps show information weighting, not a direct proof of a logical operation. A classifier probe can test whether information is decodable, but not whether the model causally uses it. Ground-truth parse structure supplies a useful annotation for analysis; it must not become a hidden training input. SAE and DAS interventions remain outside version 1.</w:t>
      </w:r>
    </w:p>
    <w:p>
      <w:pPr>
        <w:pStyle w:val="Heading2"/>
      </w:pPr>
      <w:r>
        <w:t>Conditional extension candidates</w:t>
      </w:r>
    </w:p>
    <w:p>
      <w:r>
        <w:t>Candidate A is state-change-aware routing: augment an existing history-aware router with a representation-change signal. The comparison must include MoM’s GRU router, a parameter-matched GRU with ordinary input, and the added signal removed. Routing history alone is already present in MoM and is not a novelty claim.</w:t>
      </w:r>
    </w:p>
    <w:p>
      <w:r>
        <w:t>Candidate B is controlled coupling of routing and halting: test whether a computation-budget signal improves the accuracy-cost curve relative to separately trained decisions. Require a matched auxiliary-loss and parameter control. Do not assume that a stable route proves convergence; repeated use of one module can still be necessary.</w:t>
      </w:r>
    </w:p>
    <w:p>
      <w:r>
        <w:t>Candidate C is adapting the granularity of an attention expert. Test whether grouping heads helps only when particular compositions are required, after matching active width and checking that FFN routing has not changed. This follows the supervisor’s interest in structures while staying anchored to a specific measurable limitation.</w:t>
      </w:r>
    </w:p>
    <w:p>
      <w:r>
        <w:t>Advance only one extension after confirmation. State its hypothesis, prior-art distinction, intervention, control, primary metric and stopping rule before running it. If no reproducible structural limitation emerges, improving the benchmark or explaining a negative result takes priority over adding a mechanism.</w:t>
      </w:r>
    </w:p>
    <w:p>
      <w:r>
        <w:br w:type="page"/>
      </w:r>
    </w:p>
    <w:p>
      <w:pPr>
        <w:pStyle w:val="Heading1"/>
      </w:pPr>
      <w:r>
        <w:t>13 Pretraining and implementation roadmap</w:t>
      </w:r>
    </w:p>
    <w:p>
      <w:pPr>
        <w:pStyle w:val="Heading2"/>
      </w:pPr>
      <w:r>
        <w:t>Pretrained models as a separate study</w:t>
      </w:r>
    </w:p>
    <w:p>
      <w:r>
        <w:t>External pretraining can provide general capabilities, but adds unknown data exposure and additional compute. It should not be mixed into the first from-scratch architecture ranking. First reproduce MoM’s required dense-to-module initialization on controlled data. Later compare one chosen pretrained backbone with ordinary adaptation, a routing adaptation, and a halting adaptation under matched adaptation budgets.</w:t>
      </w:r>
    </w:p>
    <w:p>
      <w:r>
        <w:t>Use newly generated expressions and fresh variable naming as a contamination sensitivity check, without claiming that this proves absence of pretraining exposure. Report tokenizer behavior, frozen and trainable parameters, adapter dimensions, checkpoint provenance, and the exact training objective. Adding experts or halting changes the computation and may require continued training; it is not automatically a zero-shot plug-in.</w:t>
      </w:r>
    </w:p>
    <w:p>
      <w:pPr>
        <w:pStyle w:val="Heading2"/>
      </w:pPr>
      <w:r>
        <w:t>Notebook deliverables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589"/>
      </w:tblGrid>
      <w:tr>
        <w:trPr>
          <w:cantSplit/>
          <w:tblHeader/>
        </w:trPr>
        <w:tc>
          <w:tcPr>
            <w:tcW w:type="dxa" w:w="2160"/>
            <w:vAlign w:val="center"/>
            <w:shd w:fill="DCE6EF"/>
            <w:tcMar>
              <w:top w:w="70" w:type="dxa"/>
              <w:bottom w:w="70" w:type="dxa"/>
              <w:left w:w="100" w:type="dxa"/>
              <w:right w:w="100" w:type="dxa"/>
            </w:tcMar>
          </w:tcPr>
          <w:p>
            <w:pPr>
              <w:spacing w:after="0" w:line="245" w:lineRule="auto"/>
            </w:pPr>
            <w:r>
              <w:rPr>
                <w:b/>
                <w:sz w:val="19"/>
              </w:rPr>
              <w:t>Notebook</w:t>
            </w:r>
          </w:p>
        </w:tc>
        <w:tc>
          <w:tcPr>
            <w:tcW w:type="dxa" w:w="7589"/>
            <w:vAlign w:val="center"/>
            <w:shd w:fill="DCE6EF"/>
            <w:tcMar>
              <w:top w:w="70" w:type="dxa"/>
              <w:bottom w:w="70" w:type="dxa"/>
              <w:left w:w="100" w:type="dxa"/>
              <w:right w:w="100" w:type="dxa"/>
            </w:tcMar>
          </w:tcPr>
          <w:p>
            <w:pPr>
              <w:spacing w:after="0" w:line="245" w:lineRule="auto"/>
            </w:pPr>
            <w:r>
              <w:rPr>
                <w:b/>
                <w:sz w:val="19"/>
              </w:rPr>
              <w:t>Responsibility</w:t>
            </w:r>
          </w:p>
        </w:tc>
      </w:tr>
      <w:tr>
        <w:trPr>
          <w:cantSplit/>
        </w:trPr>
        <w:tc>
          <w:tcPr>
            <w:tcW w:type="dxa" w:w="2160"/>
            <w:vAlign w:val="center"/>
            <w:shd w:fill="FFFFFF"/>
            <w:tcMar>
              <w:top w:w="70" w:type="dxa"/>
              <w:bottom w:w="70" w:type="dxa"/>
              <w:left w:w="100" w:type="dxa"/>
              <w:right w:w="100" w:type="dxa"/>
            </w:tcMar>
          </w:tcPr>
          <w:p>
            <w:pPr>
              <w:spacing w:after="0" w:line="245" w:lineRule="auto"/>
            </w:pPr>
            <w:r>
              <w:rPr>
                <w:b w:val="0"/>
                <w:sz w:val="19"/>
              </w:rPr>
              <w:t>11 source and environment audit</w:t>
            </w:r>
          </w:p>
        </w:tc>
        <w:tc>
          <w:tcPr>
            <w:tcW w:type="dxa" w:w="7589"/>
            <w:vAlign w:val="center"/>
            <w:shd w:fill="FFFFFF"/>
            <w:tcMar>
              <w:top w:w="70" w:type="dxa"/>
              <w:bottom w:w="70" w:type="dxa"/>
              <w:left w:w="100" w:type="dxa"/>
              <w:right w:w="100" w:type="dxa"/>
            </w:tcMar>
          </w:tcPr>
          <w:p>
            <w:pPr>
              <w:spacing w:after="0" w:line="245" w:lineRule="auto"/>
            </w:pPr>
            <w:r>
              <w:rPr>
                <w:b w:val="0"/>
                <w:sz w:val="19"/>
              </w:rPr>
              <w:t>Versions, reference configuration, dependency checks and hardware pilot.</w:t>
            </w:r>
          </w:p>
        </w:tc>
      </w:tr>
      <w:tr>
        <w:trPr>
          <w:cantSplit/>
        </w:trPr>
        <w:tc>
          <w:tcPr>
            <w:tcW w:type="dxa" w:w="2160"/>
            <w:vAlign w:val="center"/>
            <w:shd w:fill="F5F7F9"/>
            <w:tcMar>
              <w:top w:w="70" w:type="dxa"/>
              <w:bottom w:w="70" w:type="dxa"/>
              <w:left w:w="100" w:type="dxa"/>
              <w:right w:w="100" w:type="dxa"/>
            </w:tcMar>
          </w:tcPr>
          <w:p>
            <w:pPr>
              <w:spacing w:after="0" w:line="245" w:lineRule="auto"/>
            </w:pPr>
            <w:r>
              <w:rPr>
                <w:b w:val="0"/>
                <w:sz w:val="19"/>
              </w:rPr>
              <w:t>12 logical data audit</w:t>
            </w:r>
          </w:p>
        </w:tc>
        <w:tc>
          <w:tcPr>
            <w:tcW w:type="dxa" w:w="7589"/>
            <w:vAlign w:val="center"/>
            <w:shd w:fill="F5F7F9"/>
            <w:tcMar>
              <w:top w:w="70" w:type="dxa"/>
              <w:bottom w:w="70" w:type="dxa"/>
              <w:left w:w="100" w:type="dxa"/>
              <w:right w:w="100" w:type="dxa"/>
            </w:tcMar>
          </w:tcPr>
          <w:p>
            <w:pPr>
              <w:spacing w:after="0" w:line="245" w:lineRule="auto"/>
            </w:pPr>
            <w:r>
              <w:rPr>
                <w:b w:val="0"/>
                <w:sz w:val="19"/>
              </w:rPr>
              <w:t>Label verification, split exclusions, lengths, balance and leakage tests.</w:t>
            </w:r>
          </w:p>
        </w:tc>
      </w:tr>
      <w:tr>
        <w:trPr>
          <w:cantSplit/>
        </w:trPr>
        <w:tc>
          <w:tcPr>
            <w:tcW w:type="dxa" w:w="2160"/>
            <w:vAlign w:val="center"/>
            <w:shd w:fill="FFFFFF"/>
            <w:tcMar>
              <w:top w:w="70" w:type="dxa"/>
              <w:bottom w:w="70" w:type="dxa"/>
              <w:left w:w="100" w:type="dxa"/>
              <w:right w:w="100" w:type="dxa"/>
            </w:tcMar>
          </w:tcPr>
          <w:p>
            <w:pPr>
              <w:spacing w:after="0" w:line="245" w:lineRule="auto"/>
            </w:pPr>
            <w:r>
              <w:rPr>
                <w:b w:val="0"/>
                <w:sz w:val="19"/>
              </w:rPr>
              <w:t>13 reference parity</w:t>
            </w:r>
          </w:p>
        </w:tc>
        <w:tc>
          <w:tcPr>
            <w:tcW w:type="dxa" w:w="7589"/>
            <w:vAlign w:val="center"/>
            <w:shd w:fill="FFFFFF"/>
            <w:tcMar>
              <w:top w:w="70" w:type="dxa"/>
              <w:bottom w:w="70" w:type="dxa"/>
              <w:left w:w="100" w:type="dxa"/>
              <w:right w:w="100" w:type="dxa"/>
            </w:tcMar>
          </w:tcPr>
          <w:p>
            <w:pPr>
              <w:spacing w:after="0" w:line="245" w:lineRule="auto"/>
            </w:pPr>
            <w:r>
              <w:rPr>
                <w:b w:val="0"/>
                <w:sz w:val="19"/>
              </w:rPr>
              <w:t>SUT and MoM forward, gradient, initialization and boundary checks.</w:t>
            </w:r>
          </w:p>
        </w:tc>
      </w:tr>
      <w:tr>
        <w:trPr>
          <w:cantSplit/>
        </w:trPr>
        <w:tc>
          <w:tcPr>
            <w:tcW w:type="dxa" w:w="2160"/>
            <w:vAlign w:val="center"/>
            <w:shd w:fill="F5F7F9"/>
            <w:tcMar>
              <w:top w:w="70" w:type="dxa"/>
              <w:bottom w:w="70" w:type="dxa"/>
              <w:left w:w="100" w:type="dxa"/>
              <w:right w:w="100" w:type="dxa"/>
            </w:tcMar>
          </w:tcPr>
          <w:p>
            <w:pPr>
              <w:spacing w:after="0" w:line="245" w:lineRule="auto"/>
            </w:pPr>
            <w:r>
              <w:rPr>
                <w:b w:val="0"/>
                <w:sz w:val="19"/>
              </w:rPr>
              <w:t>14 small model training</w:t>
            </w:r>
          </w:p>
        </w:tc>
        <w:tc>
          <w:tcPr>
            <w:tcW w:type="dxa" w:w="7589"/>
            <w:vAlign w:val="center"/>
            <w:shd w:fill="F5F7F9"/>
            <w:tcMar>
              <w:top w:w="70" w:type="dxa"/>
              <w:bottom w:w="70" w:type="dxa"/>
              <w:left w:w="100" w:type="dxa"/>
              <w:right w:w="100" w:type="dxa"/>
            </w:tcMar>
          </w:tcPr>
          <w:p>
            <w:pPr>
              <w:spacing w:after="0" w:line="245" w:lineRule="auto"/>
            </w:pPr>
            <w:r>
              <w:rPr>
                <w:b w:val="0"/>
                <w:sz w:val="19"/>
              </w:rPr>
              <w:t>Config-driven smoke, screening and confirmed training.</w:t>
            </w:r>
          </w:p>
        </w:tc>
      </w:tr>
      <w:tr>
        <w:trPr>
          <w:cantSplit/>
        </w:trPr>
        <w:tc>
          <w:tcPr>
            <w:tcW w:type="dxa" w:w="2160"/>
            <w:vAlign w:val="center"/>
            <w:shd w:fill="FFFFFF"/>
            <w:tcMar>
              <w:top w:w="70" w:type="dxa"/>
              <w:bottom w:w="70" w:type="dxa"/>
              <w:left w:w="100" w:type="dxa"/>
              <w:right w:w="100" w:type="dxa"/>
            </w:tcMar>
          </w:tcPr>
          <w:p>
            <w:pPr>
              <w:spacing w:after="0" w:line="245" w:lineRule="auto"/>
            </w:pPr>
            <w:r>
              <w:rPr>
                <w:b w:val="0"/>
                <w:sz w:val="19"/>
              </w:rPr>
              <w:t>15 comparison results</w:t>
            </w:r>
          </w:p>
        </w:tc>
        <w:tc>
          <w:tcPr>
            <w:tcW w:type="dxa" w:w="7589"/>
            <w:vAlign w:val="center"/>
            <w:shd w:fill="FFFFFF"/>
            <w:tcMar>
              <w:top w:w="70" w:type="dxa"/>
              <w:bottom w:w="70" w:type="dxa"/>
              <w:left w:w="100" w:type="dxa"/>
              <w:right w:w="100" w:type="dxa"/>
            </w:tcMar>
          </w:tcPr>
          <w:p>
            <w:pPr>
              <w:spacing w:after="0" w:line="245" w:lineRule="auto"/>
            </w:pPr>
            <w:r>
              <w:rPr>
                <w:b w:val="0"/>
                <w:sz w:val="19"/>
              </w:rPr>
              <w:t>Task metrics, paired seeds, compute and latency curves.</w:t>
            </w:r>
          </w:p>
        </w:tc>
      </w:tr>
      <w:tr>
        <w:trPr>
          <w:cantSplit/>
        </w:trPr>
        <w:tc>
          <w:tcPr>
            <w:tcW w:type="dxa" w:w="2160"/>
            <w:vAlign w:val="center"/>
            <w:shd w:fill="F5F7F9"/>
            <w:tcMar>
              <w:top w:w="70" w:type="dxa"/>
              <w:bottom w:w="70" w:type="dxa"/>
              <w:left w:w="100" w:type="dxa"/>
              <w:right w:w="100" w:type="dxa"/>
            </w:tcMar>
          </w:tcPr>
          <w:p>
            <w:pPr>
              <w:spacing w:after="0" w:line="245" w:lineRule="auto"/>
            </w:pPr>
            <w:r>
              <w:rPr>
                <w:b w:val="0"/>
                <w:sz w:val="19"/>
              </w:rPr>
              <w:t>16 routing and halting analysis</w:t>
            </w:r>
          </w:p>
        </w:tc>
        <w:tc>
          <w:tcPr>
            <w:tcW w:type="dxa" w:w="7589"/>
            <w:vAlign w:val="center"/>
            <w:shd w:fill="F5F7F9"/>
            <w:tcMar>
              <w:top w:w="70" w:type="dxa"/>
              <w:bottom w:w="70" w:type="dxa"/>
              <w:left w:w="100" w:type="dxa"/>
              <w:right w:w="100" w:type="dxa"/>
            </w:tcMar>
          </w:tcPr>
          <w:p>
            <w:pPr>
              <w:spacing w:after="0" w:line="245" w:lineRule="auto"/>
            </w:pPr>
            <w:r>
              <w:rPr>
                <w:b w:val="0"/>
                <w:sz w:val="19"/>
              </w:rPr>
              <w:t>Diagnostics, fixed-routing controls and interpretation limits.</w:t>
            </w:r>
          </w:p>
        </w:tc>
      </w:tr>
      <w:tr>
        <w:trPr>
          <w:cantSplit/>
        </w:trPr>
        <w:tc>
          <w:tcPr>
            <w:tcW w:type="dxa" w:w="2160"/>
            <w:vAlign w:val="center"/>
            <w:shd w:fill="FFFFFF"/>
            <w:tcMar>
              <w:top w:w="70" w:type="dxa"/>
              <w:bottom w:w="70" w:type="dxa"/>
              <w:left w:w="100" w:type="dxa"/>
              <w:right w:w="100" w:type="dxa"/>
            </w:tcMar>
          </w:tcPr>
          <w:p>
            <w:pPr>
              <w:spacing w:after="0" w:line="245" w:lineRule="auto"/>
            </w:pPr>
            <w:r>
              <w:rPr>
                <w:b w:val="0"/>
                <w:sz w:val="19"/>
              </w:rPr>
              <w:t>17 dynamics transfer</w:t>
            </w:r>
          </w:p>
        </w:tc>
        <w:tc>
          <w:tcPr>
            <w:tcW w:type="dxa" w:w="7589"/>
            <w:vAlign w:val="center"/>
            <w:shd w:fill="FFFFFF"/>
            <w:tcMar>
              <w:top w:w="70" w:type="dxa"/>
              <w:bottom w:w="70" w:type="dxa"/>
              <w:left w:w="100" w:type="dxa"/>
              <w:right w:w="100" w:type="dxa"/>
            </w:tcMar>
          </w:tcPr>
          <w:p>
            <w:pPr>
              <w:spacing w:after="0" w:line="245" w:lineRule="auto"/>
            </w:pPr>
            <w:r>
              <w:rPr>
                <w:b w:val="0"/>
                <w:sz w:val="19"/>
              </w:rPr>
              <w:t>Shared data policy, prediction, rollouts and switch recovery.</w:t>
            </w:r>
          </w:p>
        </w:tc>
      </w:tr>
      <w:tr>
        <w:trPr>
          <w:cantSplit/>
        </w:trPr>
        <w:tc>
          <w:tcPr>
            <w:tcW w:type="dxa" w:w="2160"/>
            <w:vAlign w:val="center"/>
            <w:shd w:fill="F5F7F9"/>
            <w:tcMar>
              <w:top w:w="70" w:type="dxa"/>
              <w:bottom w:w="70" w:type="dxa"/>
              <w:left w:w="100" w:type="dxa"/>
              <w:right w:w="100" w:type="dxa"/>
            </w:tcMar>
          </w:tcPr>
          <w:p>
            <w:pPr>
              <w:spacing w:after="0" w:line="245" w:lineRule="auto"/>
            </w:pPr>
            <w:r>
              <w:rPr>
                <w:b w:val="0"/>
                <w:sz w:val="19"/>
              </w:rPr>
              <w:t>18 targeted extension</w:t>
            </w:r>
          </w:p>
        </w:tc>
        <w:tc>
          <w:tcPr>
            <w:tcW w:type="dxa" w:w="7589"/>
            <w:vAlign w:val="center"/>
            <w:shd w:fill="F5F7F9"/>
            <w:tcMar>
              <w:top w:w="70" w:type="dxa"/>
              <w:bottom w:w="70" w:type="dxa"/>
              <w:left w:w="100" w:type="dxa"/>
              <w:right w:w="100" w:type="dxa"/>
            </w:tcMar>
          </w:tcPr>
          <w:p>
            <w:pPr>
              <w:spacing w:after="0" w:line="245" w:lineRule="auto"/>
            </w:pPr>
            <w:r>
              <w:rPr>
                <w:b w:val="0"/>
                <w:sz w:val="19"/>
              </w:rPr>
              <w:t>One prespecified structural change and its ablations.</w:t>
            </w:r>
          </w:p>
        </w:tc>
      </w:tr>
    </w:tbl>
    <w:p>
      <w:pPr>
        <w:spacing w:after="20"/>
      </w:pPr>
    </w:p>
    <w:p>
      <w:r>
        <w:t>Keep notebooks short and runnable with visible plotting cells. Place reusable algorithms in src/twilight_moe and preserve the existing 00–10 workflows. Proposed modules include logical data parsing and splitting, reference adapters, reusable attention/FFN units, halting, module assembly, compute accounting and evaluation. These are planned additions, not completed implementations.</w:t>
      </w:r>
    </w:p>
    <w:p>
      <w:r>
        <w:t>All generated datasets belong under E:/HarunoKen/Twilight_MoE_Dynamics, configurable by TWILIGHT_DATA_DIR. Maintain immutable dataset manifests and increment DATA_VERSION when generator behavior changes. Save configuration, code hashes, upstream commits, seed, hardware, optimizer, selected checkpoint, and metric definitions for every run.</w:t>
      </w:r>
    </w:p>
    <w:p>
      <w:r>
        <w:t>After algorithm changes, run python -m pytest and the notebook smoke workflow. Before cached comparisons following source changes, rerun the relevant full comparison set, verify source hashes, and regenerate the results log through summarize_results.py. Do not overwrite earlier negative results or treat a smoke run as substantive evidence.</w:t>
      </w:r>
    </w:p>
    <w:p>
      <w:r>
        <w:br w:type="page"/>
      </w:r>
    </w:p>
    <w:p>
      <w:pPr>
        <w:pStyle w:val="Heading1"/>
      </w:pPr>
      <w:r>
        <w:t>14 Decisions and review checkpoints</w:t>
      </w:r>
    </w:p>
    <w:p>
      <w:pPr>
        <w:pStyle w:val="Heading2"/>
      </w:pPr>
      <w:r>
        <w:t>First implementation milestone</w:t>
      </w:r>
    </w:p>
    <w:p>
      <w:r>
        <w:t>The first milestone is not a large ranking table. It is a validated logical-inference dataset and tiny faithful SUT and MoM paths, accompanied by a dense baseline. Once these pass correctness and learning checks, expand to the remaining families using the same evaluation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3773"/>
      </w:tblGrid>
      <w:tr>
        <w:trPr>
          <w:cantSplit/>
          <w:tblHeader/>
        </w:trPr>
        <w:tc>
          <w:tcPr>
            <w:tcW w:type="dxa" w:w="2376"/>
            <w:vAlign w:val="center"/>
            <w:shd w:fill="DCE6EF"/>
            <w:tcMar>
              <w:top w:w="70" w:type="dxa"/>
              <w:bottom w:w="70" w:type="dxa"/>
              <w:left w:w="100" w:type="dxa"/>
              <w:right w:w="100" w:type="dxa"/>
            </w:tcMar>
          </w:tcPr>
          <w:p>
            <w:pPr>
              <w:spacing w:after="0" w:line="245" w:lineRule="auto"/>
            </w:pPr>
            <w:r>
              <w:rPr>
                <w:b/>
                <w:sz w:val="19"/>
              </w:rPr>
              <w:t>Decision before substantive runs</w:t>
            </w:r>
          </w:p>
        </w:tc>
        <w:tc>
          <w:tcPr>
            <w:tcW w:type="dxa" w:w="3600"/>
            <w:vAlign w:val="center"/>
            <w:shd w:fill="DCE6EF"/>
            <w:tcMar>
              <w:top w:w="70" w:type="dxa"/>
              <w:bottom w:w="70" w:type="dxa"/>
              <w:left w:w="100" w:type="dxa"/>
              <w:right w:w="100" w:type="dxa"/>
            </w:tcMar>
          </w:tcPr>
          <w:p>
            <w:pPr>
              <w:spacing w:after="0" w:line="245" w:lineRule="auto"/>
            </w:pPr>
            <w:r>
              <w:rPr>
                <w:b/>
                <w:sz w:val="19"/>
              </w:rPr>
              <w:t>Proposed default</w:t>
            </w:r>
          </w:p>
        </w:tc>
        <w:tc>
          <w:tcPr>
            <w:tcW w:type="dxa" w:w="3773"/>
            <w:vAlign w:val="center"/>
            <w:shd w:fill="DCE6EF"/>
            <w:tcMar>
              <w:top w:w="70" w:type="dxa"/>
              <w:bottom w:w="70" w:type="dxa"/>
              <w:left w:w="100" w:type="dxa"/>
              <w:right w:w="100" w:type="dxa"/>
            </w:tcMar>
          </w:tcPr>
          <w:p>
            <w:pPr>
              <w:spacing w:after="0" w:line="245" w:lineRule="auto"/>
            </w:pPr>
            <w:r>
              <w:rPr>
                <w:b/>
                <w:sz w:val="19"/>
              </w:rPr>
              <w:t>What would change it</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Hardware and time</w:t>
            </w:r>
          </w:p>
        </w:tc>
        <w:tc>
          <w:tcPr>
            <w:tcW w:type="dxa" w:w="3600"/>
            <w:vAlign w:val="center"/>
            <w:shd w:fill="FFFFFF"/>
            <w:tcMar>
              <w:top w:w="70" w:type="dxa"/>
              <w:bottom w:w="70" w:type="dxa"/>
              <w:left w:w="100" w:type="dxa"/>
              <w:right w:w="100" w:type="dxa"/>
            </w:tcMar>
          </w:tcPr>
          <w:p>
            <w:pPr>
              <w:spacing w:after="0" w:line="245" w:lineRule="auto"/>
            </w:pPr>
            <w:r>
              <w:rPr>
                <w:b w:val="0"/>
                <w:sz w:val="19"/>
              </w:rPr>
              <w:t>Profile before setting a schedule</w:t>
            </w:r>
          </w:p>
        </w:tc>
        <w:tc>
          <w:tcPr>
            <w:tcW w:type="dxa" w:w="3773"/>
            <w:vAlign w:val="center"/>
            <w:shd w:fill="FFFFFF"/>
            <w:tcMar>
              <w:top w:w="70" w:type="dxa"/>
              <w:bottom w:w="70" w:type="dxa"/>
              <w:left w:w="100" w:type="dxa"/>
              <w:right w:w="100" w:type="dxa"/>
            </w:tcMar>
          </w:tcPr>
          <w:p>
            <w:pPr>
              <w:spacing w:after="0" w:line="245" w:lineRule="auto"/>
            </w:pPr>
            <w:r>
              <w:rPr>
                <w:b w:val="0"/>
                <w:sz w:val="19"/>
              </w:rPr>
              <w:t>GPU memory, access duration and measured cost.</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Main controlled interface</w:t>
            </w:r>
          </w:p>
        </w:tc>
        <w:tc>
          <w:tcPr>
            <w:tcW w:type="dxa" w:w="3600"/>
            <w:vAlign w:val="center"/>
            <w:shd w:fill="F5F7F9"/>
            <w:tcMar>
              <w:top w:w="70" w:type="dxa"/>
              <w:bottom w:w="70" w:type="dxa"/>
              <w:left w:w="100" w:type="dxa"/>
              <w:right w:w="100" w:type="dxa"/>
            </w:tcMar>
          </w:tcPr>
          <w:p>
            <w:pPr>
              <w:spacing w:after="0" w:line="245" w:lineRule="auto"/>
            </w:pPr>
            <w:r>
              <w:rPr>
                <w:b w:val="0"/>
                <w:sz w:val="19"/>
              </w:rPr>
              <w:t>Encoder classifier with six block applications</w:t>
            </w:r>
          </w:p>
        </w:tc>
        <w:tc>
          <w:tcPr>
            <w:tcW w:type="dxa" w:w="3773"/>
            <w:vAlign w:val="center"/>
            <w:shd w:fill="F5F7F9"/>
            <w:tcMar>
              <w:top w:w="70" w:type="dxa"/>
              <w:bottom w:w="70" w:type="dxa"/>
              <w:left w:w="100" w:type="dxa"/>
              <w:right w:w="100" w:type="dxa"/>
            </w:tcMar>
          </w:tcPr>
          <w:p>
            <w:pPr>
              <w:spacing w:after="0" w:line="245" w:lineRule="auto"/>
            </w:pPr>
            <w:r>
              <w:rPr>
                <w:b w:val="0"/>
                <w:sz w:val="19"/>
              </w:rPr>
              <w:t>Reference audit reveals an essential incompatible mechanism.</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Reference interfaces</w:t>
            </w:r>
          </w:p>
        </w:tc>
        <w:tc>
          <w:tcPr>
            <w:tcW w:type="dxa" w:w="3600"/>
            <w:vAlign w:val="center"/>
            <w:shd w:fill="FFFFFF"/>
            <w:tcMar>
              <w:top w:w="70" w:type="dxa"/>
              <w:bottom w:w="70" w:type="dxa"/>
              <w:left w:w="100" w:type="dxa"/>
              <w:right w:w="100" w:type="dxa"/>
            </w:tcMar>
          </w:tcPr>
          <w:p>
            <w:pPr>
              <w:spacing w:after="0" w:line="245" w:lineRule="auto"/>
            </w:pPr>
            <w:r>
              <w:rPr>
                <w:b w:val="0"/>
                <w:sz w:val="19"/>
              </w:rPr>
              <w:t>SUT encoder decoder and MoM causal wrapper</w:t>
            </w:r>
          </w:p>
        </w:tc>
        <w:tc>
          <w:tcPr>
            <w:tcW w:type="dxa" w:w="3773"/>
            <w:vAlign w:val="center"/>
            <w:shd w:fill="FFFFFF"/>
            <w:tcMar>
              <w:top w:w="70" w:type="dxa"/>
              <w:bottom w:w="70" w:type="dxa"/>
              <w:left w:w="100" w:type="dxa"/>
              <w:right w:w="100" w:type="dxa"/>
            </w:tcMar>
          </w:tcPr>
          <w:p>
            <w:pPr>
              <w:spacing w:after="0" w:line="245" w:lineRule="auto"/>
            </w:pPr>
            <w:r>
              <w:rPr>
                <w:b w:val="0"/>
                <w:sz w:val="19"/>
              </w:rPr>
              <w:t>Explicitly scoped simplification, recorded as an adaptation.</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Selection metric</w:t>
            </w:r>
          </w:p>
        </w:tc>
        <w:tc>
          <w:tcPr>
            <w:tcW w:type="dxa" w:w="3600"/>
            <w:vAlign w:val="center"/>
            <w:shd w:fill="F5F7F9"/>
            <w:tcMar>
              <w:top w:w="70" w:type="dxa"/>
              <w:bottom w:w="70" w:type="dxa"/>
              <w:left w:w="100" w:type="dxa"/>
              <w:right w:w="100" w:type="dxa"/>
            </w:tcMar>
          </w:tcPr>
          <w:p>
            <w:pPr>
              <w:spacing w:after="0" w:line="245" w:lineRule="auto"/>
            </w:pPr>
            <w:r>
              <w:rPr>
                <w:b w:val="0"/>
                <w:sz w:val="19"/>
              </w:rPr>
              <w:t>Validation MSE including probability MSE for labels</w:t>
            </w:r>
          </w:p>
        </w:tc>
        <w:tc>
          <w:tcPr>
            <w:tcW w:type="dxa" w:w="3773"/>
            <w:vAlign w:val="center"/>
            <w:shd w:fill="F5F7F9"/>
            <w:tcMar>
              <w:top w:w="70" w:type="dxa"/>
              <w:bottom w:w="70" w:type="dxa"/>
              <w:left w:w="100" w:type="dxa"/>
              <w:right w:w="100" w:type="dxa"/>
            </w:tcMar>
          </w:tcPr>
          <w:p>
            <w:pPr>
              <w:spacing w:after="0" w:line="245" w:lineRule="auto"/>
            </w:pPr>
            <w:r>
              <w:rPr>
                <w:b w:val="0"/>
                <w:sz w:val="19"/>
              </w:rPr>
              <w:t>Explicit revision of the project checkpoint-selection rule.</w:t>
            </w:r>
          </w:p>
        </w:tc>
      </w:tr>
      <w:tr>
        <w:trPr>
          <w:cantSplit/>
        </w:trPr>
        <w:tc>
          <w:tcPr>
            <w:tcW w:type="dxa" w:w="2376"/>
            <w:vAlign w:val="center"/>
            <w:shd w:fill="FFFFFF"/>
            <w:tcMar>
              <w:top w:w="70" w:type="dxa"/>
              <w:bottom w:w="70" w:type="dxa"/>
              <w:left w:w="100" w:type="dxa"/>
              <w:right w:w="100" w:type="dxa"/>
            </w:tcMar>
          </w:tcPr>
          <w:p>
            <w:pPr>
              <w:spacing w:after="0" w:line="245" w:lineRule="auto"/>
            </w:pPr>
            <w:r>
              <w:rPr>
                <w:b w:val="0"/>
                <w:sz w:val="19"/>
              </w:rPr>
              <w:t>Expert count</w:t>
            </w:r>
          </w:p>
        </w:tc>
        <w:tc>
          <w:tcPr>
            <w:tcW w:type="dxa" w:w="3600"/>
            <w:vAlign w:val="center"/>
            <w:shd w:fill="FFFFFF"/>
            <w:tcMar>
              <w:top w:w="70" w:type="dxa"/>
              <w:bottom w:w="70" w:type="dxa"/>
              <w:left w:w="100" w:type="dxa"/>
              <w:right w:w="100" w:type="dxa"/>
            </w:tcMar>
          </w:tcPr>
          <w:p>
            <w:pPr>
              <w:spacing w:after="0" w:line="245" w:lineRule="auto"/>
            </w:pPr>
            <w:r>
              <w:rPr>
                <w:b w:val="0"/>
                <w:sz w:val="19"/>
              </w:rPr>
              <w:t>Include E=1 and start routed pools at E=4</w:t>
            </w:r>
          </w:p>
        </w:tc>
        <w:tc>
          <w:tcPr>
            <w:tcW w:type="dxa" w:w="3773"/>
            <w:vAlign w:val="center"/>
            <w:shd w:fill="FFFFFF"/>
            <w:tcMar>
              <w:top w:w="70" w:type="dxa"/>
              <w:bottom w:w="70" w:type="dxa"/>
              <w:left w:w="100" w:type="dxa"/>
              <w:right w:w="100" w:type="dxa"/>
            </w:tcMar>
          </w:tcPr>
          <w:p>
            <w:pPr>
              <w:spacing w:after="0" w:line="245" w:lineRule="auto"/>
            </w:pPr>
            <w:r>
              <w:rPr>
                <w:b w:val="0"/>
                <w:sz w:val="19"/>
              </w:rPr>
              <w:t>Validation and compute pilot, never final test performance.</w:t>
            </w:r>
          </w:p>
        </w:tc>
      </w:tr>
      <w:tr>
        <w:trPr>
          <w:cantSplit/>
        </w:trPr>
        <w:tc>
          <w:tcPr>
            <w:tcW w:type="dxa" w:w="2376"/>
            <w:vAlign w:val="center"/>
            <w:shd w:fill="F5F7F9"/>
            <w:tcMar>
              <w:top w:w="70" w:type="dxa"/>
              <w:bottom w:w="70" w:type="dxa"/>
              <w:left w:w="100" w:type="dxa"/>
              <w:right w:w="100" w:type="dxa"/>
            </w:tcMar>
          </w:tcPr>
          <w:p>
            <w:pPr>
              <w:spacing w:after="0" w:line="245" w:lineRule="auto"/>
            </w:pPr>
            <w:r>
              <w:rPr>
                <w:b w:val="0"/>
                <w:sz w:val="19"/>
              </w:rPr>
              <w:t>New structure</w:t>
            </w:r>
          </w:p>
        </w:tc>
        <w:tc>
          <w:tcPr>
            <w:tcW w:type="dxa" w:w="3600"/>
            <w:vAlign w:val="center"/>
            <w:shd w:fill="F5F7F9"/>
            <w:tcMar>
              <w:top w:w="70" w:type="dxa"/>
              <w:bottom w:w="70" w:type="dxa"/>
              <w:left w:w="100" w:type="dxa"/>
              <w:right w:w="100" w:type="dxa"/>
            </w:tcMar>
          </w:tcPr>
          <w:p>
            <w:pPr>
              <w:spacing w:after="0" w:line="245" w:lineRule="auto"/>
            </w:pPr>
            <w:r>
              <w:rPr>
                <w:b w:val="0"/>
                <w:sz w:val="19"/>
              </w:rPr>
              <w:t>Defer until a stable baseline limitation exists</w:t>
            </w:r>
          </w:p>
        </w:tc>
        <w:tc>
          <w:tcPr>
            <w:tcW w:type="dxa" w:w="3773"/>
            <w:vAlign w:val="center"/>
            <w:shd w:fill="F5F7F9"/>
            <w:tcMar>
              <w:top w:w="70" w:type="dxa"/>
              <w:bottom w:w="70" w:type="dxa"/>
              <w:left w:w="100" w:type="dxa"/>
              <w:right w:w="100" w:type="dxa"/>
            </w:tcMar>
          </w:tcPr>
          <w:p>
            <w:pPr>
              <w:spacing w:after="0" w:line="245" w:lineRule="auto"/>
            </w:pPr>
            <w:r>
              <w:rPr>
                <w:b w:val="0"/>
                <w:sz w:val="19"/>
              </w:rPr>
              <w:t>Confirmed evidence justifies one targeted modification.</w:t>
            </w:r>
          </w:p>
        </w:tc>
      </w:tr>
    </w:tbl>
    <w:p>
      <w:pPr>
        <w:spacing w:after="20"/>
      </w:pPr>
    </w:p>
    <w:p>
      <w:pPr>
        <w:pStyle w:val="Heading2"/>
      </w:pPr>
      <w:r>
        <w:t>Review gates</w:t>
      </w:r>
    </w:p>
    <w:p>
      <w:r>
        <w:t>Gate 1 accepts a source audit, legal small configurations and label/split tests. Gate 2 accepts reference parity and tiny-set learning. Gate 3 freezes screening budgets and comparison definitions. Gate 4 accepts a reproducible validation result and locks final evaluation. Gate 5 decides whether a mechanism study, a transfer experiment or a new structure is justified.</w:t>
      </w:r>
    </w:p>
    <w:p>
      <w:r>
        <w:t>If a model fails to learn even in distribution, first investigate implementation and optimization. If in-distribution learning succeeds but out-of-distribution accuracy fails, report the failure and investigate structural sensitivity. If accuracy improves without runtime benefit, separate capacity gains from efficiency claims. If E=1 wins, retain it and examine whether routing overhead, insufficient data, optimization or task structure explains the result; do not assert an explanation without a control.</w:t>
      </w:r>
    </w:p>
    <w:p>
      <w:pPr>
        <w:pStyle w:val="Heading2"/>
      </w:pPr>
      <w:r>
        <w:t>Five minute supervisor update</w:t>
      </w:r>
    </w:p>
    <w:p>
      <w:r>
        <w:t>Start with the research question and one structural comparison. Show the data format and train/test distinction using one example. Present one performance-versus-cost plot with a dense and recurrent control. Explain one interpretation limit and one next decision. Keep architectural background available as backup rather than trying to cover every paper in the short meeting.</w:t>
      </w:r>
    </w:p>
    <w:p>
      <w:r>
        <w:t>The intended research contribution is a clear account of when head, expert and module routing helps under repeated computation. A new method is a possible later outcome. The immediate commitment is a reproducible experiment that can distinguish useful structure from additional capacity, additional training, or dataset shortcuts.</w:t>
      </w:r>
    </w:p>
    <w:p>
      <w:r>
        <w:br w:type="page"/>
      </w:r>
    </w:p>
    <w:p>
      <w:pPr>
        <w:pStyle w:val="Heading1"/>
      </w:pPr>
      <w:r>
        <w:t>References and source locations</w:t>
      </w:r>
    </w:p>
    <w:p>
      <w:r>
        <w:t>The numbered references identify background evidence and implementation sources. Proposed configurations and experiment decisions in this document are our study design, not settings claimed by those sources.</w:t>
      </w:r>
    </w:p>
    <w:p>
      <w:r>
        <w:t>[1] Dehghani et al. Universal Transformers. ICLR 2019. Sections 2 and Appendix C define shared-depth updates and original dynamic halting.</w:t>
      </w:r>
    </w:p>
    <w:p>
      <w:pPr>
        <w:spacing w:after="100"/>
      </w:pPr>
      <w:hyperlink r:id="rId10">
        <w:r>
          <w:rPr>
            <w:sz w:val="19"/>
            <w:color w:val="274B68"/>
          </w:rPr>
          <w:t>https://arxiv.org/html/1807.03819v3</w:t>
        </w:r>
      </w:hyperlink>
    </w:p>
    <w:p>
      <w:r>
        <w:t>[2] Tan et al. Sparse Universal Transformer. EMNLP 2023. Sections 3 and 4, Tables 1–5; arXiv Appendix Table 6 gives configurations.</w:t>
      </w:r>
    </w:p>
    <w:p>
      <w:pPr>
        <w:spacing w:after="100"/>
      </w:pPr>
      <w:hyperlink r:id="rId11">
        <w:r>
          <w:rPr>
            <w:sz w:val="19"/>
            <w:color w:val="274B68"/>
          </w:rPr>
          <w:t>https://aclanthology.org/2023.emnlp-main.12.pdf</w:t>
        </w:r>
      </w:hyperlink>
    </w:p>
    <w:p>
      <w:pPr>
        <w:spacing w:after="100"/>
      </w:pPr>
      <w:hyperlink r:id="rId12">
        <w:r>
          <w:rPr>
            <w:sz w:val="19"/>
            <w:color w:val="274B68"/>
          </w:rPr>
          <w:t>https://arxiv.org/pdf/2310.07096</w:t>
        </w:r>
      </w:hyperlink>
    </w:p>
    <w:p>
      <w:r>
        <w:t>[3] Gong et al. Mixture-of-Modules Reinventing Transformers as Dynamic Assemblies of Modules. 2024. Sections 3.2–3.4 and Appendix D cover assembly, GRU routing and two-phase training.</w:t>
      </w:r>
    </w:p>
    <w:p>
      <w:pPr>
        <w:spacing w:after="100"/>
      </w:pPr>
      <w:hyperlink r:id="rId13">
        <w:r>
          <w:rPr>
            <w:sz w:val="19"/>
            <w:color w:val="274B68"/>
          </w:rPr>
          <w:t>https://arxiv.org/html/2407.06677</w:t>
        </w:r>
      </w:hyperlink>
    </w:p>
    <w:p>
      <w:r>
        <w:t>[4] Fedus et al. Switch Transformers Scaling to Trillion Parameter Models with Simple and Efficient Sparsity. JMLR 2022. Top-1 FFN routing and capacity/load-balancing details.</w:t>
      </w:r>
    </w:p>
    <w:p>
      <w:pPr>
        <w:spacing w:after="100"/>
      </w:pPr>
      <w:hyperlink r:id="rId14">
        <w:r>
          <w:rPr>
            <w:sz w:val="19"/>
            <w:color w:val="274B68"/>
          </w:rPr>
          <w:t>https://www.jmlr.org/papers/volume23/21-0998/21-0998.pdf</w:t>
        </w:r>
      </w:hyperlink>
    </w:p>
    <w:p>
      <w:r>
        <w:t>[5] Zhang et al. Mixture of Attention Heads Selecting Attention Heads Per Token. EMNLP 2022. Individual attention experts and token-dependent selection.</w:t>
      </w:r>
    </w:p>
    <w:p>
      <w:pPr>
        <w:spacing w:after="100"/>
      </w:pPr>
      <w:hyperlink r:id="rId15">
        <w:r>
          <w:rPr>
            <w:sz w:val="19"/>
            <w:color w:val="274B68"/>
          </w:rPr>
          <w:t>https://aclanthology.org/2022.emnlp-main.278/</w:t>
        </w:r>
      </w:hyperlink>
    </w:p>
    <w:p>
      <w:r>
        <w:t>[6] Jin et al. MoH Multi-Head Attention as Mixture-of-Head Attention. ICML 2025. Shared and routed heads; distinguish the published method from the local MoH-inspired implementation.</w:t>
      </w:r>
    </w:p>
    <w:p>
      <w:pPr>
        <w:spacing w:after="100"/>
      </w:pPr>
      <w:hyperlink r:id="rId16">
        <w:r>
          <w:rPr>
            <w:sz w:val="19"/>
            <w:color w:val="274B68"/>
          </w:rPr>
          <w:t>https://proceedings.mlr.press/v267/jin25l.html</w:t>
        </w:r>
      </w:hyperlink>
    </w:p>
    <w:p>
      <w:r>
        <w:t>[7] Shen et al. Ordered Memory. NeurIPS 2019. Section 4.1 and Table 2 define the logical generalization protocol and exclusions.</w:t>
      </w:r>
    </w:p>
    <w:p>
      <w:pPr>
        <w:spacing w:after="100"/>
      </w:pPr>
      <w:hyperlink r:id="rId17">
        <w:r>
          <w:rPr>
            <w:sz w:val="19"/>
            <w:color w:val="274B68"/>
          </w:rPr>
          <w:t>https://proceedings.neurips.cc/paper/2019/file/d8e1344e27a5b08cdfd5d027d9b8d6de-Paper.pdf</w:t>
        </w:r>
      </w:hyperlink>
    </w:p>
    <w:p>
      <w:pPr>
        <w:spacing w:after="100"/>
      </w:pPr>
      <w:hyperlink r:id="rId18">
        <w:r>
          <w:rPr>
            <w:sz w:val="19"/>
            <w:color w:val="274B68"/>
          </w:rPr>
          <w:t>https://github.com/yikangshen/Ordered-Memory</w:t>
        </w:r>
      </w:hyperlink>
    </w:p>
    <w:p>
      <w:r>
        <w:br w:type="page"/>
      </w:r>
    </w:p>
    <w:p>
      <w:pPr>
        <w:pStyle w:val="Heading1"/>
      </w:pPr>
      <w:r>
        <w:t>References and implementation record</w:t>
      </w:r>
    </w:p>
    <w:p>
      <w:r>
        <w:t>[8] Keysers et al. Measuring Compositional Generalization A Comprehensive Method on Realistic Data. ICLR 2020. CFQ and MCD split design.</w:t>
      </w:r>
    </w:p>
    <w:p>
      <w:pPr>
        <w:spacing w:after="100"/>
      </w:pPr>
      <w:hyperlink r:id="rId19">
        <w:r>
          <w:rPr>
            <w:sz w:val="19"/>
            <w:color w:val="274B68"/>
          </w:rPr>
          <w:t>https://arxiv.org/abs/1912.09713</w:t>
        </w:r>
      </w:hyperlink>
    </w:p>
    <w:p>
      <w:pPr>
        <w:spacing w:after="100"/>
      </w:pPr>
      <w:hyperlink r:id="rId20">
        <w:r>
          <w:rPr>
            <w:sz w:val="19"/>
            <w:color w:val="274B68"/>
          </w:rPr>
          <w:t>https://research.google/blog/measuring-compositional-generalization/</w:t>
        </w:r>
      </w:hyperlink>
    </w:p>
    <w:p>
      <w:r>
        <w:t>[9] SUT author implementation. WMT14 instructions and model components. Pin a commit before reproduction.</w:t>
      </w:r>
    </w:p>
    <w:p>
      <w:pPr>
        <w:spacing w:after="100"/>
      </w:pPr>
      <w:hyperlink r:id="rId21">
        <w:r>
          <w:rPr>
            <w:sz w:val="19"/>
            <w:color w:val="274B68"/>
          </w:rPr>
          <w:t>https://github.com/shawntan/SUT</w:t>
        </w:r>
      </w:hyperlink>
    </w:p>
    <w:p>
      <w:pPr>
        <w:spacing w:after="100"/>
      </w:pPr>
      <w:hyperlink r:id="rId22">
        <w:r>
          <w:rPr>
            <w:sz w:val="19"/>
            <w:color w:val="274B68"/>
          </w:rPr>
          <w:t>https://github.com/shawntan/SUT/blob/main/halting.py</w:t>
        </w:r>
      </w:hyperlink>
    </w:p>
    <w:p>
      <w:pPr>
        <w:spacing w:after="100"/>
      </w:pPr>
      <w:hyperlink r:id="rId23">
        <w:r>
          <w:rPr>
            <w:sz w:val="19"/>
            <w:color w:val="274B68"/>
          </w:rPr>
          <w:t>https://github.com/shawntan/SUT/blob/main/sut_loss.py</w:t>
        </w:r>
      </w:hyperlink>
    </w:p>
    <w:p>
      <w:pPr>
        <w:spacing w:after="100"/>
      </w:pPr>
      <w:hyperlink r:id="rId24">
        <w:r>
          <w:rPr>
            <w:sz w:val="19"/>
            <w:color w:val="274B68"/>
          </w:rPr>
          <w:t>https://github.com/shawntan/SUT/tree/main/sut_layer</w:t>
        </w:r>
      </w:hyperlink>
    </w:p>
    <w:p>
      <w:r>
        <w:t>[10] MoM author repository with implementation files. Availability checked on 16 October 2026; completeness and numerical fidelity remain implementation milestones.</w:t>
      </w:r>
    </w:p>
    <w:p>
      <w:pPr>
        <w:spacing w:after="100"/>
      </w:pPr>
      <w:hyperlink r:id="rId25">
        <w:r>
          <w:rPr>
            <w:sz w:val="19"/>
            <w:color w:val="274B68"/>
          </w:rPr>
          <w:t>https://github.com/gzhch/Mixture-of-Modules</w:t>
        </w:r>
      </w:hyperlink>
    </w:p>
    <w:p>
      <w:pPr>
        <w:spacing w:after="100"/>
      </w:pPr>
      <w:hyperlink r:id="rId26">
        <w:r>
          <w:rPr>
            <w:sz w:val="19"/>
            <w:color w:val="274B68"/>
          </w:rPr>
          <w:t>https://github.com/gzhch/Mixture-of-Modules/blob/main/mom/model.py</w:t>
        </w:r>
      </w:hyperlink>
    </w:p>
    <w:p>
      <w:r>
        <w:t>The older paper link https://github.com/gzhch/MoM was empty when checked.</w:t>
      </w:r>
    </w:p>
    <w:p>
      <w:r>
        <w:t>[11] Bowman et al. Tree Structured Composition in Neural Networks without Tree Structured Architectures. 2015. Logical inference task provenance cited by SUT. Use release-specific labels and syntax when loading data.</w:t>
      </w:r>
    </w:p>
    <w:p>
      <w:pPr>
        <w:spacing w:after="100"/>
      </w:pPr>
      <w:hyperlink r:id="rId27">
        <w:r>
          <w:rPr>
            <w:sz w:val="19"/>
            <w:color w:val="274B68"/>
          </w:rPr>
          <w:t>https://arxiv.org/abs/1506.04834</w:t>
        </w:r>
      </w:hyperlink>
    </w:p>
    <w:p>
      <w:r>
        <w:t>[12] Existing Twilight MoE Dynamics project records. These are local experiment records, not independent published evidence. Historical metrics must be revalidated before joining new comparisons.</w:t>
      </w:r>
    </w:p>
    <w:p>
      <w:r>
        <w:t>research_plan.md</w:t>
      </w:r>
    </w:p>
    <w:p>
      <w:r>
        <w:t>docs/ATTENTION_EXPERIMENT.md</w:t>
      </w:r>
    </w:p>
    <w:p>
      <w:r>
        <w:t>docs/architecture_component_comparison.md</w:t>
      </w:r>
    </w:p>
    <w:p>
      <w:r>
        <w:t>results/attention_comparison_log.md</w:t>
      </w:r>
    </w:p>
    <w:p>
      <w:r>
        <w:t>AGENTS.md</w:t>
      </w:r>
    </w:p>
    <w:p>
      <w:r>
        <w:t>Project root: D:/HarunoKen/Twilight_MoE_Dynamics</w:t>
      </w:r>
    </w:p>
    <w:p>
      <w:pPr>
        <w:pStyle w:val="Heading2"/>
      </w:pPr>
      <w:r>
        <w:t>Terms used throughout the plan</w:t>
      </w:r>
    </w:p>
    <w:p>
      <w:r>
        <w:t>An expert is a candidate function selected by a router. An attention expert may contain one head or several heads. A module is the unit used by a particular assembly method and must be defined from that method’s implementation. Recurrence means repeated computation with shared parameters. Halting ends further updates for a token; skipping an operation need not end later computation. Compositional generalization tests unseen arrangements of familiar components. It is distinct from ordinary unseen-example accuracy and from conversational ability.</w:t>
      </w:r>
    </w:p>
    <w:p>
      <w:r>
        <w:t>Model width is the residual representation dimension. Attention projection width can differ from it; query and key dimensions must agree within a head. FFN hidden width is internal to an expert and need not equal model width. Total parameters, active parameter proxies, arithmetic operations and measured runtime are separate quantities.</w:t>
      </w:r>
    </w:p>
    <w:sectPr w:rsidR="00FC693F" w:rsidRPr="0006063C" w:rsidSect="00034616">
      <w:footerReference w:type="default" r:id="rId9"/>
      <w:pgSz w:w="11909" w:h="16834"/>
      <w:pgMar w:top="979" w:right="1080" w:bottom="936" w:left="1080"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Research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html/1807.03819v3" TargetMode="External"/><Relationship Id="rId11" Type="http://schemas.openxmlformats.org/officeDocument/2006/relationships/hyperlink" Target="https://aclanthology.org/2023.emnlp-main.12.pdf" TargetMode="External"/><Relationship Id="rId12" Type="http://schemas.openxmlformats.org/officeDocument/2006/relationships/hyperlink" Target="https://arxiv.org/pdf/2310.07096" TargetMode="External"/><Relationship Id="rId13" Type="http://schemas.openxmlformats.org/officeDocument/2006/relationships/hyperlink" Target="https://arxiv.org/html/2407.06677" TargetMode="External"/><Relationship Id="rId14" Type="http://schemas.openxmlformats.org/officeDocument/2006/relationships/hyperlink" Target="https://www.jmlr.org/papers/volume23/21-0998/21-0998.pdf" TargetMode="External"/><Relationship Id="rId15" Type="http://schemas.openxmlformats.org/officeDocument/2006/relationships/hyperlink" Target="https://aclanthology.org/2022.emnlp-main.278/" TargetMode="External"/><Relationship Id="rId16" Type="http://schemas.openxmlformats.org/officeDocument/2006/relationships/hyperlink" Target="https://proceedings.mlr.press/v267/jin25l.html" TargetMode="External"/><Relationship Id="rId17" Type="http://schemas.openxmlformats.org/officeDocument/2006/relationships/hyperlink" Target="https://proceedings.neurips.cc/paper/2019/file/d8e1344e27a5b08cdfd5d027d9b8d6de-Paper.pdf" TargetMode="External"/><Relationship Id="rId18" Type="http://schemas.openxmlformats.org/officeDocument/2006/relationships/hyperlink" Target="https://github.com/yikangshen/Ordered-Memory" TargetMode="External"/><Relationship Id="rId19" Type="http://schemas.openxmlformats.org/officeDocument/2006/relationships/hyperlink" Target="https://arxiv.org/abs/1912.09713" TargetMode="External"/><Relationship Id="rId20" Type="http://schemas.openxmlformats.org/officeDocument/2006/relationships/hyperlink" Target="https://research.google/blog/measuring-compositional-generalization/" TargetMode="External"/><Relationship Id="rId21" Type="http://schemas.openxmlformats.org/officeDocument/2006/relationships/hyperlink" Target="https://github.com/shawntan/SUT" TargetMode="External"/><Relationship Id="rId22" Type="http://schemas.openxmlformats.org/officeDocument/2006/relationships/hyperlink" Target="https://github.com/shawntan/SUT/blob/main/halting.py" TargetMode="External"/><Relationship Id="rId23" Type="http://schemas.openxmlformats.org/officeDocument/2006/relationships/hyperlink" Target="https://github.com/shawntan/SUT/blob/main/sut_loss.py" TargetMode="External"/><Relationship Id="rId24" Type="http://schemas.openxmlformats.org/officeDocument/2006/relationships/hyperlink" Target="https://github.com/shawntan/SUT/tree/main/sut_layer" TargetMode="External"/><Relationship Id="rId25" Type="http://schemas.openxmlformats.org/officeDocument/2006/relationships/hyperlink" Target="https://github.com/gzhch/Mixture-of-Modules" TargetMode="External"/><Relationship Id="rId26" Type="http://schemas.openxmlformats.org/officeDocument/2006/relationships/hyperlink" Target="https://github.com/gzhch/Mixture-of-Modules/blob/main/mom/model.py" TargetMode="External"/><Relationship Id="rId27" Type="http://schemas.openxmlformats.org/officeDocument/2006/relationships/hyperlink" Target="https://arxiv.org/abs/1506.048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plan for routed and recurrent Transformer structures</dc:title>
  <dc:subject>Small scale SUT and MoM reproduction and controlled experiments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