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31E" w:rsidRDefault="0029354D" w:rsidP="0029354D">
      <w:pPr>
        <w:pStyle w:val="1"/>
      </w:pPr>
      <w:r w:rsidRPr="0029354D">
        <w:t>Title</w:t>
      </w:r>
    </w:p>
    <w:p w:rsidR="0029354D" w:rsidRDefault="0029354D" w:rsidP="0029354D">
      <w:r w:rsidRPr="0029354D">
        <w:t>Personalized Reliability Prediction of Web Services</w:t>
      </w:r>
    </w:p>
    <w:p w:rsidR="0029354D" w:rsidRDefault="0029354D" w:rsidP="0029354D">
      <w:pPr>
        <w:pStyle w:val="1"/>
      </w:pPr>
      <w:r w:rsidRPr="0029354D">
        <w:t>Citation</w:t>
      </w:r>
    </w:p>
    <w:p w:rsidR="0029354D" w:rsidRDefault="0029354D" w:rsidP="0029354D">
      <w:r w:rsidRPr="0029354D">
        <w:t>ZIBIN ZHENG</w:t>
      </w:r>
      <w:r>
        <w:t>,</w:t>
      </w:r>
      <w:r w:rsidRPr="0029354D">
        <w:t xml:space="preserve"> MICHAEL R. LYU</w:t>
      </w:r>
    </w:p>
    <w:p w:rsidR="0029354D" w:rsidRDefault="0029354D" w:rsidP="0029354D">
      <w:pPr>
        <w:pStyle w:val="1"/>
      </w:pPr>
      <w:r w:rsidRPr="0029354D">
        <w:t>Abstract</w:t>
      </w:r>
    </w:p>
    <w:p w:rsidR="0029354D" w:rsidRDefault="003C4421" w:rsidP="00823DEE">
      <w:pPr>
        <w:ind w:firstLineChars="100" w:firstLine="210"/>
      </w:pPr>
      <w:r>
        <w:t xml:space="preserve">Author proposes two personalized reliability prediction approaches of Web services, that is, neighborhood-based approach and model-based approach. The neighborhood-based approach employs past failure data of similar neighbors (either service users or Web services) to predict the Web service reliability. </w:t>
      </w:r>
      <w:r w:rsidR="004174E5">
        <w:t>T</w:t>
      </w:r>
      <w:r>
        <w:t>he model-based approach fits a factor model based on the available Web service failure data and use this factor model to make further reliability prediction.</w:t>
      </w:r>
    </w:p>
    <w:p w:rsidR="000C1AC4" w:rsidRDefault="000C1AC4" w:rsidP="000C1AC4">
      <w:pPr>
        <w:pStyle w:val="1"/>
      </w:pPr>
      <w:r w:rsidRPr="000C1AC4">
        <w:t>Issues</w:t>
      </w:r>
    </w:p>
    <w:p w:rsidR="000C1AC4" w:rsidRDefault="000C1AC4" w:rsidP="000C1AC4">
      <w:r>
        <w:rPr>
          <w:rFonts w:hint="eastAsia"/>
        </w:rPr>
        <w:t xml:space="preserve">  </w:t>
      </w:r>
      <w:r w:rsidR="003F09C5">
        <w:t xml:space="preserve">Without sufficient past failure data, without internal information of Web services, influenced by the unpredictable Internet connections, </w:t>
      </w:r>
      <w:r>
        <w:rPr>
          <w:rFonts w:hint="eastAsia"/>
        </w:rPr>
        <w:t>How to design</w:t>
      </w:r>
      <w:r w:rsidR="003F09C5">
        <w:t xml:space="preserve"> more</w:t>
      </w:r>
      <w:r>
        <w:rPr>
          <w:rFonts w:hint="eastAsia"/>
        </w:rPr>
        <w:t xml:space="preserve"> efficient and</w:t>
      </w:r>
      <w:r w:rsidR="003F09C5">
        <w:t xml:space="preserve"> more</w:t>
      </w:r>
      <w:r>
        <w:rPr>
          <w:rFonts w:hint="eastAsia"/>
        </w:rPr>
        <w:t xml:space="preserve"> effective reliab</w:t>
      </w:r>
      <w:r>
        <w:t>i</w:t>
      </w:r>
      <w:r>
        <w:rPr>
          <w:rFonts w:hint="eastAsia"/>
        </w:rPr>
        <w:t xml:space="preserve">lity prediction </w:t>
      </w:r>
      <w:r>
        <w:t>approaches of Web services?</w:t>
      </w:r>
    </w:p>
    <w:p w:rsidR="000D7E8C" w:rsidRDefault="000D7E8C" w:rsidP="000D7E8C">
      <w:pPr>
        <w:pStyle w:val="1"/>
      </w:pPr>
      <w:r w:rsidRPr="000D7E8C">
        <w:t>Approach</w:t>
      </w:r>
    </w:p>
    <w:p w:rsidR="005A30D8" w:rsidRDefault="005A30D8" w:rsidP="005A30D8">
      <w:pPr>
        <w:pStyle w:val="2"/>
      </w:pPr>
      <w:r>
        <w:t>Neighborhood-Based Reliability Prediction</w:t>
      </w:r>
    </w:p>
    <w:p w:rsidR="009015EF" w:rsidRDefault="0073067F" w:rsidP="00257216">
      <w:pPr>
        <w:jc w:val="center"/>
      </w:pPr>
      <w:r>
        <w:rPr>
          <w:noProof/>
        </w:rPr>
        <w:drawing>
          <wp:inline distT="0" distB="0" distL="0" distR="0" wp14:anchorId="31315A24" wp14:editId="5B8E9AC0">
            <wp:extent cx="5274310" cy="984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7F" w:rsidRDefault="0073067F" w:rsidP="00257216">
      <w:pPr>
        <w:jc w:val="center"/>
      </w:pPr>
      <w:r w:rsidRPr="0073067F">
        <w:t>Fig. 2. Procedures of neighborhood-based reliability prediction.</w:t>
      </w:r>
    </w:p>
    <w:p w:rsidR="00257216" w:rsidRDefault="00E2773F" w:rsidP="00257216">
      <w:pPr>
        <w:ind w:firstLineChars="100" w:firstLine="210"/>
      </w:pPr>
      <w:r>
        <w:t>Procedures of neighborhood-based reliability prediction is</w:t>
      </w:r>
      <w:r w:rsidR="00257216">
        <w:t xml:space="preserve"> shown in Figure 2.</w:t>
      </w:r>
    </w:p>
    <w:p w:rsidR="008E1DC8" w:rsidRDefault="008E1DC8" w:rsidP="008E1DC8">
      <w:pPr>
        <w:ind w:firstLineChars="100" w:firstLine="210"/>
      </w:pPr>
      <w:r>
        <w:t xml:space="preserve">First, Author defines the performance of a Web service as its average failure probability (pi), as </w:t>
      </w:r>
      <w:r>
        <w:lastRenderedPageBreak/>
        <w:t>below:</w:t>
      </w:r>
    </w:p>
    <w:p w:rsidR="008E1DC8" w:rsidRDefault="001452B9" w:rsidP="001452B9">
      <w:pPr>
        <w:pStyle w:val="a6"/>
        <w:spacing w:before="312" w:after="312"/>
      </w:pPr>
      <w:r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,</w:t>
      </w:r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8E1DC8" w:rsidRPr="00497602" w:rsidRDefault="008E1DC8" w:rsidP="008E1DC8"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a,i</m:t>
            </m:r>
          </m:sub>
        </m:sSub>
      </m:oMath>
      <w:r>
        <w:t xml:space="preserve"> is failure probability of Web service candidate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 xml:space="preserve"> observed by the service user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t xml:space="preserve"> is the number of service users, and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 is the average failure probability of the Web service candidate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>.</w:t>
      </w:r>
    </w:p>
    <w:p w:rsidR="008E1DC8" w:rsidRDefault="00F951BC" w:rsidP="00F951BC">
      <w:pPr>
        <w:pStyle w:val="3"/>
      </w:pPr>
      <w:r w:rsidRPr="00F951BC">
        <w:t>Phase 1: Similarity Computation</w:t>
      </w:r>
    </w:p>
    <w:p w:rsidR="00F951BC" w:rsidRDefault="008C645B" w:rsidP="008C645B">
      <w:r>
        <w:rPr>
          <w:rFonts w:hint="eastAsia"/>
        </w:rPr>
        <w:t xml:space="preserve">  Author uses Pearson Correlation Coefficient (</w:t>
      </w:r>
      <w:r>
        <w:t>PCC) to compute the similarity between service user u and service user a based on their commonly invoked Web services, as follow:</w:t>
      </w:r>
    </w:p>
    <w:p w:rsidR="008C645B" w:rsidRDefault="00471ABA" w:rsidP="00F46CB5">
      <w:pPr>
        <w:pStyle w:val="a6"/>
        <w:spacing w:before="312" w:after="312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szCs w:val="22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szCs w:val="22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>
        <w:rPr>
          <w:rFonts w:hint="eastAsia"/>
        </w:rPr>
        <w:t>,</w:t>
      </w:r>
      <w:r>
        <w:tab/>
        <w:t>(2)</w:t>
      </w:r>
    </w:p>
    <w:p w:rsidR="008C645B" w:rsidRDefault="008C645B" w:rsidP="008C645B">
      <w:r>
        <w:rPr>
          <w:rFonts w:hint="eastAsia"/>
        </w:rP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95280">
        <w:rPr>
          <w:rFonts w:hint="eastAsia"/>
        </w:rPr>
        <w:t xml:space="preserve"> </w:t>
      </w:r>
      <w:r>
        <w:rPr>
          <w:rFonts w:hint="eastAsia"/>
        </w:rPr>
        <w:t xml:space="preserve">is a set of commonly invoked Web services by both user </w:t>
      </w:r>
      <m:oMath>
        <m:r>
          <m:rPr>
            <m:sty m:val="p"/>
          </m:rP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 xml:space="preserve"> and user 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u,i</m:t>
            </m:r>
          </m:sub>
        </m:sSub>
      </m:oMath>
      <w:r>
        <w:t xml:space="preserve"> is the failure probability of Web service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 xml:space="preserve"> observed by the service user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t xml:space="preserve">, and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sub>
            </m:sSub>
          </m:e>
        </m:acc>
      </m:oMath>
      <w:r>
        <w:t xml:space="preserve"> represents the average failure probability of all the Web services invoked by user u.</w:t>
      </w:r>
    </w:p>
    <w:p w:rsidR="00D942CA" w:rsidRDefault="00D942CA" w:rsidP="00D942CA">
      <w:pPr>
        <w:ind w:firstLineChars="100" w:firstLine="210"/>
      </w:pPr>
      <w:r>
        <w:t xml:space="preserve">Similar to this procedure, PCC can also be employed to calculate the similarity between Web service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 xml:space="preserve"> and Web service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t xml:space="preserve"> by using:</w:t>
      </w:r>
    </w:p>
    <w:p w:rsidR="00D942CA" w:rsidRDefault="006F45C5" w:rsidP="00DF2A6A">
      <w:pPr>
        <w:pStyle w:val="a6"/>
        <w:spacing w:before="312" w:after="312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szCs w:val="22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szCs w:val="22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>
        <w:rPr>
          <w:rFonts w:hint="eastAsia"/>
        </w:rPr>
        <w:t>,</w:t>
      </w:r>
      <w:r>
        <w:tab/>
        <w:t>(3)</w:t>
      </w:r>
    </w:p>
    <w:p w:rsidR="00B131BB" w:rsidRDefault="00D942CA" w:rsidP="00D942CA">
      <w:r>
        <w:rPr>
          <w:rFonts w:hint="eastAsia"/>
        </w:rP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is a set of service users who invoke both the Web services 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 xml:space="preserve">, and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 is the average failure probability of Web service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>, which can be calculated by Eq. (1)</w:t>
      </w:r>
    </w:p>
    <w:p w:rsidR="00D942CA" w:rsidRDefault="00B131BB" w:rsidP="00B131BB">
      <w:pPr>
        <w:ind w:firstLineChars="100" w:firstLine="210"/>
      </w:pPr>
      <w:r>
        <w:t>Author employ a logistic function to reduce the influence of a small number of similar yet co-invoked Web services. An enhanced PCC for the similarity computation between two service users is defined as:</w:t>
      </w:r>
    </w:p>
    <w:p w:rsidR="00B131BB" w:rsidRDefault="009D7EF4" w:rsidP="00421175">
      <w:pPr>
        <w:pStyle w:val="a6"/>
        <w:spacing w:before="312" w:after="312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sup>
            </m:sSup>
          </m:den>
        </m:f>
        <m:r>
          <w:rPr>
            <w:rFonts w:ascii="Cambria Math" w:hAnsi="Cambria Math"/>
          </w:rPr>
          <m:t>Sim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ab/>
        <w:t>(4)</w:t>
      </w:r>
    </w:p>
    <w:p w:rsidR="00B131BB" w:rsidRDefault="00B131BB" w:rsidP="00B131BB"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Sim'(u,a)</m:t>
        </m:r>
      </m:oMath>
      <w:r>
        <w:rPr>
          <w:rFonts w:hint="eastAsia"/>
        </w:rPr>
        <w:t xml:space="preserve"> is the new similarity value, 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|</m:t>
        </m:r>
      </m:oMath>
      <w:r>
        <w:t xml:space="preserve"> </w:t>
      </w:r>
      <w:r>
        <w:rPr>
          <w:rFonts w:hint="eastAsia"/>
        </w:rPr>
        <w:t>is the number of Web services</w:t>
      </w:r>
      <w:r>
        <w:t xml:space="preserve"> that are invoked by both user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t xml:space="preserve"> and user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>.</w:t>
      </w:r>
    </w:p>
    <w:p w:rsidR="00E57732" w:rsidRDefault="00E57732" w:rsidP="00E57732">
      <w:pPr>
        <w:ind w:firstLineChars="100" w:firstLine="210"/>
      </w:pPr>
      <w:r>
        <w:t>Just like the user-based methods, an enhanced PCC for the similarity computation between different Web services is defined as:</w:t>
      </w:r>
    </w:p>
    <w:p w:rsidR="00E57732" w:rsidRDefault="007957C9" w:rsidP="003A76A3">
      <w:pPr>
        <w:pStyle w:val="a6"/>
        <w:spacing w:before="312" w:after="312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sup>
            </m:sSup>
          </m:den>
        </m:f>
        <m:r>
          <w:rPr>
            <w:rFonts w:ascii="Cambria Math" w:hAnsi="Cambria Math"/>
          </w:rPr>
          <m:t>Sim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666E8">
        <w:rPr>
          <w:rFonts w:hint="eastAsia"/>
        </w:rPr>
        <w:t>,</w:t>
      </w:r>
      <w:r>
        <w:tab/>
        <w:t>(5)</w:t>
      </w:r>
    </w:p>
    <w:p w:rsidR="00E57732" w:rsidRDefault="00E57732" w:rsidP="00E57732">
      <w:r>
        <w:rPr>
          <w:rFonts w:hint="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is the number of service users who invoked both Web service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and item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t xml:space="preserve"> </w:t>
      </w:r>
      <w:r>
        <w:lastRenderedPageBreak/>
        <w:t>previously.</w:t>
      </w:r>
    </w:p>
    <w:p w:rsidR="004B5CEA" w:rsidRDefault="004B5CEA" w:rsidP="004B5CEA">
      <w:pPr>
        <w:pStyle w:val="3"/>
      </w:pPr>
      <w:r w:rsidRPr="004B5CEA">
        <w:t>Phase 2: Similar User Selection</w:t>
      </w:r>
    </w:p>
    <w:p w:rsidR="004B5CEA" w:rsidRDefault="004B5CEA" w:rsidP="004B5CEA">
      <w:r>
        <w:rPr>
          <w:rFonts w:hint="eastAsia"/>
        </w:rPr>
        <w:t xml:space="preserve">  Using a parameter Top-K and excluding </w:t>
      </w:r>
      <w:r>
        <w:t xml:space="preserve">the service users who have negative correlation, a set of similar service users </w:t>
      </w:r>
      <m:oMath>
        <m:r>
          <m:rPr>
            <m:sty m:val="p"/>
          </m:rPr>
          <w:rPr>
            <w:rFonts w:ascii="Cambria Math" w:hAnsi="Cambria Math"/>
          </w:rPr>
          <m:t>S(u)</m:t>
        </m:r>
      </m:oMath>
      <w:r>
        <w:t xml:space="preserve"> can be identified as:</w:t>
      </w:r>
    </w:p>
    <w:p w:rsidR="004B5CEA" w:rsidRDefault="00C93A17" w:rsidP="00B148A9">
      <w:pPr>
        <w:pStyle w:val="a6"/>
        <w:spacing w:before="312" w:after="312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={a|Sim'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u,a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,Sim'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u,a</m:t>
            </m:r>
          </m:e>
        </m:d>
        <m:r>
          <w:rPr>
            <w:rFonts w:ascii="Cambria Math" w:hAnsi="Cambria Math"/>
          </w:rPr>
          <m:t>&gt;0,a≠u)</m:t>
        </m:r>
      </m:oMath>
      <w:r w:rsidR="00166345">
        <w:rPr>
          <w:rFonts w:hint="eastAsia"/>
        </w:rPr>
        <w:t>,</w:t>
      </w:r>
      <w:r>
        <w:tab/>
        <w:t>(6)</w:t>
      </w:r>
    </w:p>
    <w:p w:rsidR="004B5CEA" w:rsidRDefault="004B5CEA" w:rsidP="004B5CEA">
      <w:r>
        <w:t xml:space="preserve">Where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is the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t xml:space="preserve">th largest PCC value with the current user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t>.</w:t>
      </w:r>
    </w:p>
    <w:p w:rsidR="00A7766D" w:rsidRDefault="00A7766D" w:rsidP="00A7766D">
      <w:pPr>
        <w:ind w:firstLineChars="100" w:firstLine="210"/>
      </w:pPr>
      <w:r>
        <w:t xml:space="preserve">Similar to the above procedure, a set of similar Web services </w:t>
      </w:r>
      <m:oMath>
        <m:r>
          <m:rPr>
            <m:sty m:val="p"/>
          </m:rPr>
          <w:rPr>
            <w:rFonts w:ascii="Cambria Math" w:hAnsi="Cambria Math"/>
          </w:rPr>
          <m:t>S(i)</m:t>
        </m:r>
      </m:oMath>
      <w:r>
        <w:t xml:space="preserve"> with the current Web service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 xml:space="preserve"> can also be identified as:</w:t>
      </w:r>
    </w:p>
    <w:p w:rsidR="00A7766D" w:rsidRDefault="000B01F1" w:rsidP="007966EB">
      <w:pPr>
        <w:pStyle w:val="a6"/>
        <w:spacing w:before="312" w:after="312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={j|Sim'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,Sim'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&gt;0,i≠j)</m:t>
        </m:r>
      </m:oMath>
      <w:r w:rsidR="004356E4">
        <w:rPr>
          <w:rFonts w:hint="eastAsia"/>
        </w:rPr>
        <w:t>,</w:t>
      </w:r>
      <w:r>
        <w:tab/>
        <w:t>(7)</w:t>
      </w:r>
    </w:p>
    <w:p w:rsidR="00A7766D" w:rsidRDefault="00A7766D" w:rsidP="00A7766D">
      <w:r>
        <w:t xml:space="preserve">where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is the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t xml:space="preserve">th largest PCC value with the current Web service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.</w:t>
      </w:r>
    </w:p>
    <w:p w:rsidR="00F73B21" w:rsidRDefault="00F73B21" w:rsidP="00F73B21">
      <w:pPr>
        <w:pStyle w:val="3"/>
      </w:pPr>
      <w:r w:rsidRPr="00F73B21">
        <w:t>Phase 3: Failure Probability Prediction</w:t>
      </w:r>
    </w:p>
    <w:p w:rsidR="000B3C9E" w:rsidRDefault="000B3C9E" w:rsidP="000B3C9E">
      <w:pPr>
        <w:ind w:firstLineChars="100" w:firstLine="210"/>
      </w:pPr>
      <w:r>
        <w:t>Employing the similar users, the user-based approaches (named as UPCC) predict the missing value</w:t>
      </w:r>
      <w:r w:rsidR="00F13AF6">
        <w:t xml:space="preserve"> </w:t>
      </w:r>
      <m:oMath>
        <m:sSubSup>
          <m:sSubSupPr>
            <m:ctrlPr>
              <w:rPr>
                <w:rFonts w:ascii="Cambria Math" w:hAnsi="Cambria Math"/>
                <w:iCs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by the following equation:</w:t>
      </w:r>
    </w:p>
    <w:p w:rsidR="000B3C9E" w:rsidRDefault="005B0A9E" w:rsidP="009A3C53">
      <w:pPr>
        <w:pStyle w:val="a6"/>
        <w:spacing w:before="312" w:after="312"/>
      </w:pPr>
      <w:r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×(</m:t>
            </m:r>
            <m:sSub>
              <m:sSubPr>
                <m:ctrlPr>
                  <w:rPr>
                    <w:rFonts w:ascii="Cambria Math" w:hAnsi="Cambria Math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szCs w:val="2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FE0292">
        <w:rPr>
          <w:rFonts w:hint="eastAsia"/>
        </w:rPr>
        <w:t>,</w:t>
      </w:r>
      <w:r>
        <w:tab/>
        <w:t>(8)</w:t>
      </w:r>
    </w:p>
    <w:p w:rsidR="00EA2143" w:rsidRDefault="000B3C9E" w:rsidP="000B3C9E">
      <w: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acc>
      </m:oMath>
      <w:r>
        <w:t xml:space="preserve"> and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</m:oMath>
      <w:r>
        <w:t xml:space="preserve"> are average failure probabilities of different Web services observed by user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 xml:space="preserve">, respectively,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is the significant weight of the similar user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>,</w:t>
      </w:r>
      <w:r w:rsidR="009F38BF">
        <w:t xml:space="preserve"> </w:t>
      </w:r>
      <w:r w:rsidR="009F38BF" w:rsidRPr="009F38BF">
        <w:t>to increase the influence of users with higher similarity values</w:t>
      </w:r>
      <w:r w:rsidR="009F38BF">
        <w:t>,</w:t>
      </w:r>
      <w:r>
        <w:t xml:space="preserve"> which is defined as:</w:t>
      </w:r>
    </w:p>
    <w:p w:rsidR="00F73B21" w:rsidRDefault="00736811" w:rsidP="00E04E00">
      <w:pPr>
        <w:pStyle w:val="a6"/>
        <w:spacing w:before="312" w:after="312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w</m:t>
            </m:r>
          </m:e>
          <m:sub>
            <m:r>
              <w:rPr>
                <w:rFonts w:ascii="Cambria Math" w:hAnsi="Cambria Math"/>
                <w:kern w:val="0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'(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 w:rsidR="00EA2143">
        <w:rPr>
          <w:rFonts w:hint="eastAsia"/>
        </w:rPr>
        <w:t>,</w:t>
      </w:r>
      <w:r>
        <w:tab/>
        <w:t>(10)</w:t>
      </w:r>
    </w:p>
    <w:p w:rsidR="006573DE" w:rsidRDefault="006573DE" w:rsidP="006573DE">
      <w:pPr>
        <w:ind w:firstLineChars="100" w:firstLine="210"/>
      </w:pPr>
      <w:r w:rsidRPr="006573DE">
        <w:t xml:space="preserve">Similar to the user-based approach, </w:t>
      </w:r>
      <w:r>
        <w:t xml:space="preserve">item-based approaches (named as IPCC) predict the missing value </w:t>
      </w:r>
      <m:oMath>
        <m:sSubSup>
          <m:sSubSupPr>
            <m:ctrlPr>
              <w:rPr>
                <w:rFonts w:ascii="Cambria Math" w:hAnsi="Cambria Math"/>
                <w:iCs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>
        <w:t xml:space="preserve"> by:</w:t>
      </w:r>
    </w:p>
    <w:p w:rsidR="006573DE" w:rsidRDefault="00CC22A1" w:rsidP="00A679BF">
      <w:pPr>
        <w:pStyle w:val="a6"/>
        <w:spacing w:before="312" w:after="312"/>
      </w:pPr>
      <w:r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×(</m:t>
            </m:r>
            <m:sSub>
              <m:sSubPr>
                <m:ctrlPr>
                  <w:rPr>
                    <w:rFonts w:ascii="Cambria Math" w:hAnsi="Cambria Math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u,k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szCs w:val="2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,</w:t>
      </w:r>
      <w:r>
        <w:tab/>
        <w:t>(11)</w:t>
      </w:r>
    </w:p>
    <w:p w:rsidR="0024422C" w:rsidRDefault="0024422C" w:rsidP="0024422C">
      <w: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 and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</m:oMath>
      <w:r>
        <w:t xml:space="preserve"> are average failure probabilities of Web services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t xml:space="preserve"> observed by</w:t>
      </w:r>
      <w:r w:rsidR="00F858A5">
        <w:t xml:space="preserve"> </w:t>
      </w:r>
      <w:r>
        <w:t xml:space="preserve">different service users, respectively,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858A5">
        <w:rPr>
          <w:rFonts w:hint="eastAsia"/>
        </w:rPr>
        <w:t xml:space="preserve"> </w:t>
      </w:r>
      <w:r>
        <w:t xml:space="preserve">is the weight of the similar Web service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F858A5">
        <w:t xml:space="preserve"> </w:t>
      </w:r>
      <w:r>
        <w:t xml:space="preserve">with respect to Web service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>, which is defined as:</w:t>
      </w:r>
    </w:p>
    <w:p w:rsidR="00A86941" w:rsidRDefault="00FE749A" w:rsidP="00BE20D3">
      <w:pPr>
        <w:pStyle w:val="a6"/>
        <w:spacing w:before="312" w:after="312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w</m:t>
            </m:r>
          </m:e>
          <m:sub>
            <m:r>
              <w:rPr>
                <w:rFonts w:ascii="Cambria Math" w:hAnsi="Cambria Math"/>
                <w:kern w:val="0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'(</m:t>
                </m:r>
                <m:r>
                  <w:rPr>
                    <w:rFonts w:ascii="Cambria Math" w:hAnsi="Cambria Math"/>
                  </w:rPr>
                  <m:t>i,k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'(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 w:rsidR="00903E42">
        <w:rPr>
          <w:rFonts w:hint="eastAsia"/>
        </w:rPr>
        <w:t>,</w:t>
      </w:r>
      <w:r>
        <w:tab/>
        <w:t>(12)</w:t>
      </w:r>
    </w:p>
    <w:p w:rsidR="00A86941" w:rsidRDefault="00F35437" w:rsidP="00F35437">
      <w:pPr>
        <w:ind w:firstLineChars="100" w:firstLine="210"/>
      </w:pPr>
      <w:r>
        <w:lastRenderedPageBreak/>
        <w:t xml:space="preserve">Author </w:t>
      </w:r>
      <w:r w:rsidR="00FD209F">
        <w:t>combine</w:t>
      </w:r>
      <w:r>
        <w:t>s</w:t>
      </w:r>
      <w:r w:rsidR="00FD209F">
        <w:t xml:space="preserve"> the prediction results by the user-based approach in Eq. (8) and the item-based approach in Eq. (11)</w:t>
      </w:r>
      <w:r w:rsidR="00FD209F" w:rsidRPr="00FD209F">
        <w:t xml:space="preserve"> </w:t>
      </w:r>
      <w:r w:rsidR="00FD209F">
        <w:t xml:space="preserve">to fully utilize the information of both similar users and similar Web </w:t>
      </w:r>
      <w:r>
        <w:t>services, as follow:</w:t>
      </w:r>
    </w:p>
    <w:p w:rsidR="00F35437" w:rsidRDefault="00E40DBC" w:rsidP="00E40DBC">
      <w:pPr>
        <w:pStyle w:val="a6"/>
        <w:spacing w:before="312" w:after="312"/>
      </w:pPr>
      <w:r>
        <w:rPr>
          <w:szCs w:val="22"/>
        </w:rPr>
        <w:tab/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λ×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u,i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+(1-λ)×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u,i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,  &amp;S(u)≠∅∧S(i)≠∅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u,i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,  &amp;S(u)≠∅∧S(i)=∅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u,i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,  &amp;S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=∅∧S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≠∅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NoPrediction,  &amp;S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=∅∧S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=∅</m:t>
                </m:r>
              </m:e>
            </m:eqArr>
          </m:e>
        </m:d>
      </m:oMath>
      <w:r w:rsidR="00415753">
        <w:rPr>
          <w:rFonts w:hint="eastAsia"/>
        </w:rPr>
        <w:t>,</w:t>
      </w:r>
      <w:r>
        <w:tab/>
      </w:r>
      <w:r w:rsidR="00415753">
        <w:t>(14)</w:t>
      </w:r>
    </w:p>
    <w:p w:rsidR="00415753" w:rsidRDefault="00415753" w:rsidP="00415753">
      <w:r>
        <w:t xml:space="preserve">where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is the </w:t>
      </w:r>
      <w:r w:rsidRPr="000E6007">
        <w:t>Equation (</w:t>
      </w:r>
      <w:r w:rsidR="00ED6DEF">
        <w:t>8</w:t>
      </w:r>
      <w:r w:rsidRPr="000E6007">
        <w:t>)</w:t>
      </w:r>
      <w:r>
        <w:t xml:space="preserve">,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>
        <w:t xml:space="preserve"> is the</w:t>
      </w:r>
      <w:r w:rsidRPr="000E6007">
        <w:t xml:space="preserve"> Equation (</w:t>
      </w:r>
      <w:r w:rsidR="00ED6DEF">
        <w:t>11</w:t>
      </w:r>
      <w:r w:rsidRPr="000E6007">
        <w:t>)</w:t>
      </w:r>
      <w:r>
        <w:t xml:space="preserve">, and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(0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1)</m:t>
        </m:r>
      </m:oMath>
      <w:r>
        <w:rPr>
          <w:rFonts w:hint="eastAsia"/>
        </w:rPr>
        <w:t xml:space="preserve"> is a user-defined parameter for determining</w:t>
      </w:r>
      <w:r>
        <w:t xml:space="preserve"> how much the missing value prediction relies on the similar users or the similar Web services.</w:t>
      </w:r>
    </w:p>
    <w:p w:rsidR="00473426" w:rsidRDefault="00473426" w:rsidP="00473426">
      <w:pPr>
        <w:pStyle w:val="3"/>
      </w:pPr>
      <w:r w:rsidRPr="00473426">
        <w:t>Phase 4: Reliability Prediction</w:t>
      </w:r>
    </w:p>
    <w:p w:rsidR="00473426" w:rsidRDefault="00473426" w:rsidP="00473426">
      <w:pPr>
        <w:ind w:firstLineChars="100" w:firstLine="210"/>
      </w:pPr>
      <w:r>
        <w:t>To predict the Web service reliability, we adopt the commonly used exponential reliability function:</w:t>
      </w:r>
    </w:p>
    <w:p w:rsidR="00473426" w:rsidRDefault="00DD5B65" w:rsidP="002A2BEF">
      <w:pPr>
        <w:pStyle w:val="a6"/>
        <w:spacing w:before="312" w:after="312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-p×f×t</m:t>
            </m:r>
          </m:sup>
        </m:sSup>
      </m:oMath>
      <w:r w:rsidR="00E40DBC">
        <w:t>,</w:t>
      </w:r>
      <w:r>
        <w:tab/>
      </w:r>
      <w:r w:rsidR="00E40DBC">
        <w:t>(16)</w:t>
      </w:r>
    </w:p>
    <w:p w:rsidR="00473426" w:rsidRDefault="00473426" w:rsidP="00473426"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t xml:space="preserve"> is the failure probability of the Web service,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is the invocation frequency of the Web service </w:t>
      </w:r>
      <w:r w:rsidRPr="00473426"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Pr="00473426">
        <w:t xml:space="preserve"> is the time period for which the reliability is to be calculated.</w:t>
      </w:r>
    </w:p>
    <w:p w:rsidR="00417091" w:rsidRDefault="00417091" w:rsidP="00417091">
      <w:pPr>
        <w:pStyle w:val="2"/>
      </w:pPr>
      <w:r>
        <w:t>Model-Based Reliability Prediction</w:t>
      </w:r>
    </w:p>
    <w:p w:rsidR="00417091" w:rsidRDefault="00C81FAD" w:rsidP="00C81FAD">
      <w:pPr>
        <w:ind w:firstLineChars="100" w:firstLine="210"/>
      </w:pPr>
      <w:r>
        <w:t>Author presents a model-based approach for predicting the missing failure probability values in the user-item matrix. This model-based approach is designed as a two-phase process. In Phase 1, the missing value problem is modeled as an optimization problem; and in Phase 2, an algorithm is proposed for solving the problem.</w:t>
      </w:r>
    </w:p>
    <w:p w:rsidR="00C81FAD" w:rsidRDefault="00C81FAD" w:rsidP="00CC66CB">
      <w:pPr>
        <w:pStyle w:val="3"/>
      </w:pPr>
      <w:r w:rsidRPr="00C81FAD">
        <w:t>Matrix Factorization</w:t>
      </w:r>
    </w:p>
    <w:p w:rsidR="00C81FAD" w:rsidRDefault="00C81FAD" w:rsidP="00C81FAD">
      <w:pPr>
        <w:ind w:firstLineChars="100" w:firstLine="210"/>
      </w:pPr>
      <w:r>
        <w:t xml:space="preserve">Considering an </w:t>
      </w:r>
      <m:oMath>
        <m:r>
          <m:rPr>
            <m:sty m:val="p"/>
          </m:rPr>
          <w:rPr>
            <w:rFonts w:ascii="Cambria Math" w:hAnsi="Cambria Math"/>
          </w:rPr>
          <m:t>m×n</m:t>
        </m:r>
      </m:oMath>
      <w:r>
        <w:t xml:space="preserve"> user-item matrix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t xml:space="preserve">, an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="0052302B">
        <w:rPr>
          <w:rFonts w:hint="eastAsia"/>
        </w:rPr>
        <w:t>-factor</w:t>
      </w:r>
      <w:r>
        <w:t xml:space="preserve"> model is attempted to find two matrices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t xml:space="preserve"> (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t xml:space="preserve"> rows and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t xml:space="preserve"> columns) and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t xml:space="preserve"> (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t xml:space="preserve"> rows and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 xml:space="preserve"> columns), such that:</w:t>
      </w:r>
    </w:p>
    <w:p w:rsidR="00C81FAD" w:rsidRDefault="00C32B76" w:rsidP="001464A6">
      <w:pPr>
        <w:pStyle w:val="a6"/>
        <w:spacing w:before="312" w:after="312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P≈WH</m:t>
        </m:r>
      </m:oMath>
      <w:r>
        <w:rPr>
          <w:rFonts w:hint="eastAsia"/>
        </w:rPr>
        <w:t>,</w:t>
      </w:r>
      <w:r>
        <w:tab/>
      </w:r>
      <w:r>
        <w:rPr>
          <w:rFonts w:hint="eastAsia"/>
        </w:rPr>
        <w:t>(</w:t>
      </w:r>
      <w:r>
        <w:t>17</w:t>
      </w:r>
      <w:r>
        <w:rPr>
          <w:rFonts w:hint="eastAsia"/>
        </w:rPr>
        <w:t>)</w:t>
      </w:r>
    </w:p>
    <w:p w:rsidR="00C81FAD" w:rsidRDefault="0052302B" w:rsidP="00E8635C">
      <w:r w:rsidRPr="0052302B"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Pr="0052302B">
        <w:t xml:space="preserve"> is the number of factors.</w:t>
      </w:r>
      <w:r w:rsidR="00E8635C">
        <w:t xml:space="preserve"> Physical meanings of this matrix factorization: Each column 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 w:rsidR="00E8635C">
        <w:t xml:space="preserve"> is a factor vector</w:t>
      </w:r>
      <w:r w:rsidR="00DC11EA">
        <w:t xml:space="preserve"> </w:t>
      </w:r>
      <w:r w:rsidR="00E8635C">
        <w:t xml:space="preserve">including the values of the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="00E8635C">
        <w:t xml:space="preserve"> factors for a Web service, while each row of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="00E8635C">
        <w:t xml:space="preserve"> is the user</w:t>
      </w:r>
      <w:r w:rsidR="00DF39E8">
        <w:t>-</w:t>
      </w:r>
      <w:r w:rsidR="00E8635C">
        <w:t>specific</w:t>
      </w:r>
      <w:r w:rsidR="00DC11EA">
        <w:t xml:space="preserve"> </w:t>
      </w:r>
      <w:r w:rsidR="00E8635C">
        <w:t>coefficients for a user.</w:t>
      </w:r>
    </w:p>
    <w:p w:rsidR="002F5BD1" w:rsidRDefault="002F5BD1" w:rsidP="004F4CF5">
      <w:pPr>
        <w:ind w:firstLineChars="100" w:firstLine="210"/>
      </w:pPr>
      <w:r>
        <w:t xml:space="preserve">The matrices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t xml:space="preserve"> are generally nonunique and we need to identify the optimal ones by minimizing the distance between </w:t>
      </w:r>
      <m:oMath>
        <m:r>
          <m:rPr>
            <m:sty m:val="p"/>
          </m:rPr>
          <w:rPr>
            <w:rFonts w:ascii="Cambria Math" w:hAnsi="Cambria Math"/>
          </w:rPr>
          <m:t>WH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t>.</w:t>
      </w:r>
    </w:p>
    <w:p w:rsidR="004F4CF5" w:rsidRDefault="004F4CF5" w:rsidP="004F4CF5">
      <w:pPr>
        <w:ind w:firstLineChars="100" w:firstLine="210"/>
      </w:pPr>
      <w:r>
        <w:rPr>
          <w:rFonts w:hint="eastAsia"/>
        </w:rPr>
        <w:lastRenderedPageBreak/>
        <w:t xml:space="preserve">Employing the sum-squared errer </w:t>
      </w:r>
      <w:r>
        <w:t>and</w:t>
      </w:r>
      <w:r>
        <w:rPr>
          <w:rFonts w:hint="eastAsia"/>
        </w:rPr>
        <w:t xml:space="preserve"> </w:t>
      </w:r>
      <w:r>
        <w:t xml:space="preserve">adding the constraints of the norms of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to penalize large values of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, author </w:t>
      </w:r>
      <w:r>
        <w:t>gets the following optimization problem:</w:t>
      </w:r>
    </w:p>
    <w:p w:rsidR="004F4CF5" w:rsidRDefault="00B25DEA" w:rsidP="00CE08FA">
      <w:pPr>
        <w:pStyle w:val="a6"/>
        <w:spacing w:before="312" w:after="312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L(</m:t>
            </m:r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nary>
      </m:oMath>
      <w:r>
        <w:rPr>
          <w:rFonts w:hint="eastAsia"/>
        </w:rPr>
        <w:t>,</w:t>
      </w:r>
      <w:r>
        <w:tab/>
      </w:r>
      <w:r>
        <w:rPr>
          <w:rFonts w:hint="eastAsia"/>
        </w:rPr>
        <w:t>(</w:t>
      </w:r>
      <w:r>
        <w:t>19</w:t>
      </w:r>
      <w:r>
        <w:rPr>
          <w:rFonts w:hint="eastAsia"/>
        </w:rPr>
        <w:t>)</w:t>
      </w:r>
    </w:p>
    <w:p w:rsidR="004F4CF5" w:rsidRDefault="004F4CF5" w:rsidP="004F4CF5">
      <w:r>
        <w:t xml:space="preserve">where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>
        <w:t xml:space="preserve"> is the indicator function that is equal to 1 if the value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available in the user-item matrix (indicating that Web service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t xml:space="preserve"> has been invoked by user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 xml:space="preserve"> previously) and equal to 0 otherwise,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 xml:space="preserve">th row of matrix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t xml:space="preserve"> (representing the user-specific coefficients of user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 xml:space="preserve">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t xml:space="preserve">th column of matrix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t xml:space="preserve"> (representing the factor vector of Web service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t xml:space="preserve">),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t xml:space="preserve"> controls the extent of regularization for penalizing large values in the matrices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t xml:space="preserve"> to avoid the overfitting problem,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||∙||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denotes the Frobenius norm, which is defined as the square root of the sum of the absolute squares of values in a matrix.</w:t>
      </w:r>
      <w:r w:rsidRPr="004F4CF5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||W||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(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t xml:space="preserve"> rows and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t xml:space="preserve"> columns) can be calculated by:</w:t>
      </w:r>
    </w:p>
    <w:p w:rsidR="004F4CF5" w:rsidRDefault="005B0298" w:rsidP="00B87B1B">
      <w:pPr>
        <w:pStyle w:val="a6"/>
        <w:spacing w:before="312" w:after="312"/>
      </w:pPr>
      <m:oMath>
        <m:sSubSup>
          <m:sSubSupPr>
            <m:ctrlPr>
              <w:rPr>
                <w:rFonts w:ascii="Cambria Math" w:hAnsi="Cambria Math"/>
                <w:szCs w:val="2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Cs w:val="22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rad>
      </m:oMath>
      <w:r w:rsidR="00B87B1B">
        <w:rPr>
          <w:rFonts w:hint="eastAsia"/>
        </w:rPr>
        <w:t>.</w:t>
      </w:r>
    </w:p>
    <w:p w:rsidR="004F4CF5" w:rsidRDefault="00CC66CB" w:rsidP="00CC66CB">
      <w:pPr>
        <w:pStyle w:val="3"/>
      </w:pPr>
      <w:r w:rsidRPr="00CC66CB">
        <w:t>Gradient Descent</w:t>
      </w:r>
    </w:p>
    <w:p w:rsidR="00CB167A" w:rsidRDefault="00CB167A" w:rsidP="00CB167A">
      <w:pPr>
        <w:jc w:val="center"/>
      </w:pPr>
      <w:r>
        <w:rPr>
          <w:noProof/>
        </w:rPr>
        <w:drawing>
          <wp:inline distT="0" distB="0" distL="0" distR="0" wp14:anchorId="17BCBD44" wp14:editId="3EB5A7C7">
            <wp:extent cx="5274310" cy="20821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CB" w:rsidRDefault="00F00330" w:rsidP="00F00330">
      <w:pPr>
        <w:ind w:firstLineChars="100" w:firstLine="210"/>
      </w:pPr>
      <w:r>
        <w:t xml:space="preserve">Author employs the </w:t>
      </w:r>
      <w:r w:rsidR="00CC66CB">
        <w:t>Gradient descent</w:t>
      </w:r>
      <w:r>
        <w:t xml:space="preserve"> to minimizing the function in Eq. (19)</w:t>
      </w:r>
      <w:r w:rsidR="00CC66CB">
        <w:t>. The gradient descent algorithm loops through all available values in the user-item matrix and train the l factors one by one. One gradient step intends to decrease the square of prediction error of only one value.</w:t>
      </w:r>
    </w:p>
    <w:p w:rsidR="00863A64" w:rsidRDefault="00863A64" w:rsidP="00F00330">
      <w:pPr>
        <w:ind w:firstLineChars="100" w:firstLine="210"/>
      </w:pPr>
      <w:r w:rsidRPr="00863A64">
        <w:t>The gradients can be computed by:</w:t>
      </w:r>
    </w:p>
    <w:p w:rsidR="002C1426" w:rsidRDefault="002C1426" w:rsidP="002C1426">
      <w:pPr>
        <w:pStyle w:val="a6"/>
        <w:spacing w:before="312" w:after="312"/>
      </w:pPr>
      <w:r>
        <w:rPr>
          <w:szCs w:val="22"/>
        </w:rPr>
        <w:tab/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box>
              <m:boxPr>
                <m:diff m:val="1"/>
                <m:ctrlPr>
                  <w:rPr>
                    <w:rFonts w:ascii="Cambria Math" w:hAnsi="Cambria Math"/>
                    <w:szCs w:val="22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</m:box>
          </m:num>
          <m:den>
            <m:box>
              <m:boxPr>
                <m:diff m:val="1"/>
                <m:ctrlPr>
                  <w:rPr>
                    <w:rFonts w:ascii="Cambria Math" w:hAnsi="Cambria Math"/>
                    <w:szCs w:val="22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il</m:t>
                    </m:r>
                  </m:sub>
                </m:sSub>
              </m:e>
            </m:box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</m:t>
        </m:r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lj</m:t>
                </m:r>
              </m:sub>
            </m:sSub>
          </m:e>
        </m:nary>
      </m:oMath>
      <w:r>
        <w:rPr>
          <w:rFonts w:hint="eastAsia"/>
        </w:rPr>
        <w:t>,</w:t>
      </w:r>
      <w:r>
        <w:tab/>
      </w:r>
      <w:r>
        <w:rPr>
          <w:rFonts w:hint="eastAsia"/>
        </w:rPr>
        <w:t>(</w:t>
      </w:r>
      <w:r>
        <w:t>20</w:t>
      </w:r>
      <w:r>
        <w:rPr>
          <w:rFonts w:hint="eastAsia"/>
        </w:rPr>
        <w:t>)</w:t>
      </w:r>
    </w:p>
    <w:p w:rsidR="00863A64" w:rsidRDefault="00D93E1B" w:rsidP="00C12FEE">
      <w:pPr>
        <w:pStyle w:val="a6"/>
        <w:spacing w:before="312" w:after="312"/>
      </w:pPr>
      <w:r>
        <w:rPr>
          <w:szCs w:val="22"/>
        </w:rPr>
        <w:tab/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box>
              <m:boxPr>
                <m:diff m:val="1"/>
                <m:ctrlPr>
                  <w:rPr>
                    <w:rFonts w:ascii="Cambria Math" w:hAnsi="Cambria Math"/>
                    <w:szCs w:val="22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</m:box>
          </m:num>
          <m:den>
            <m:box>
              <m:boxPr>
                <m:diff m:val="1"/>
                <m:ctrlPr>
                  <w:rPr>
                    <w:rFonts w:ascii="Cambria Math" w:hAnsi="Cambria Math"/>
                    <w:szCs w:val="22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lj</m:t>
                    </m:r>
                  </m:sub>
                </m:sSub>
              </m:e>
            </m:box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</m:t>
        </m:r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lj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</m:e>
        </m:nary>
      </m:oMath>
      <w:r w:rsidR="002C1426">
        <w:rPr>
          <w:rFonts w:hint="eastAsia"/>
        </w:rPr>
        <w:t>,</w:t>
      </w:r>
      <w:r>
        <w:tab/>
      </w:r>
      <w:r w:rsidR="002C1426">
        <w:rPr>
          <w:rFonts w:hint="eastAsia"/>
        </w:rPr>
        <w:t>(</w:t>
      </w:r>
      <w:r w:rsidR="002C1426">
        <w:t>21</w:t>
      </w:r>
      <w:r w:rsidR="002C1426">
        <w:rPr>
          <w:rFonts w:hint="eastAsia"/>
        </w:rPr>
        <w:t>)</w:t>
      </w:r>
    </w:p>
    <w:p w:rsidR="00CB167A" w:rsidRDefault="00863A64" w:rsidP="00CB167A"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t xml:space="preserve"> is the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t xml:space="preserve">th coefficient of user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 xml:space="preserve"> in the matrix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lj</m:t>
            </m:r>
          </m:sub>
        </m:sSub>
      </m:oMath>
      <w:r>
        <w:t xml:space="preserve"> is the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t xml:space="preserve">th factor of Web service </w:t>
      </w:r>
      <m:oMath>
        <m:r>
          <m:rPr>
            <m:sty m:val="p"/>
          </m:rPr>
          <w:rPr>
            <w:rFonts w:ascii="Cambria Math" w:hAnsi="Cambria Math"/>
          </w:rPr>
          <w:lastRenderedPageBreak/>
          <m:t>j</m:t>
        </m:r>
      </m:oMath>
      <w:r>
        <w:t xml:space="preserve"> in the matrix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 xml:space="preserve">th row of the matrix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t xml:space="preserve">th column of the matrix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t xml:space="preserve">, and the prediction error is computed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</w:p>
    <w:p w:rsidR="00CB167A" w:rsidRDefault="00CB167A" w:rsidP="00642B54">
      <w:pPr>
        <w:ind w:firstLineChars="100" w:firstLine="210"/>
      </w:pPr>
      <w:r>
        <w:t>Algorithm 1 shows the iterative process of the gradient descent algorithm for solving</w:t>
      </w:r>
      <w:r w:rsidR="00642B54">
        <w:t xml:space="preserve"> </w:t>
      </w:r>
      <w:r>
        <w:t>the optimization problem in Eq. (19).</w:t>
      </w:r>
      <w:r w:rsidR="005727A7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5727A7">
        <w:t xml:space="preserve"> means the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 w:rsidR="005727A7">
        <w:t xml:space="preserve"> in the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5727A7">
        <w:t xml:space="preserve">th iteration. The parameter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5727A7">
        <w:t xml:space="preserve"> is named learning rate, which controls the speed of iteration.</w:t>
      </w:r>
    </w:p>
    <w:p w:rsidR="001F4306" w:rsidRDefault="001F4306" w:rsidP="001F4306">
      <w:pPr>
        <w:pStyle w:val="1"/>
      </w:pPr>
      <w:r w:rsidRPr="001F4306">
        <w:t>Conclusion</w:t>
      </w:r>
    </w:p>
    <w:p w:rsidR="001F4306" w:rsidRDefault="00CC0A93" w:rsidP="00CC0A93">
      <w:pPr>
        <w:ind w:firstLineChars="100" w:firstLine="210"/>
      </w:pPr>
      <w:r>
        <w:t>Author proposes two personalized reliability prediction approaches of Web services, that is, neighborhood-based approach and model-based approach. The neighborhood-based approach employs past failure data of similar neighbors (either service users or Web services) to predict the Web service reliability. The model-based approach fits a factor model based on the available Web service failure data and use this factor model to make further reliability prediction.</w:t>
      </w:r>
    </w:p>
    <w:p w:rsidR="005B66E8" w:rsidRDefault="005B66E8" w:rsidP="005B66E8">
      <w:pPr>
        <w:ind w:firstLineChars="100" w:firstLine="210"/>
      </w:pPr>
      <w:r>
        <w:t xml:space="preserve">The comprehensive experimental analysis shows the effectiveness of </w:t>
      </w:r>
      <w:r w:rsidR="0007593F">
        <w:t>these</w:t>
      </w:r>
      <w:r>
        <w:t xml:space="preserve"> reliability prediction approaches.</w:t>
      </w:r>
    </w:p>
    <w:p w:rsidR="004F5B29" w:rsidRDefault="004F5B29" w:rsidP="004F5B29">
      <w:pPr>
        <w:pStyle w:val="1"/>
      </w:pPr>
      <w:r>
        <w:t>My Idea</w:t>
      </w:r>
    </w:p>
    <w:p w:rsidR="004F5B29" w:rsidRDefault="004F5B29" w:rsidP="004F5B29">
      <w:pPr>
        <w:pStyle w:val="a7"/>
        <w:numPr>
          <w:ilvl w:val="0"/>
          <w:numId w:val="1"/>
        </w:numPr>
        <w:ind w:firstLineChars="0"/>
      </w:pPr>
      <w:r w:rsidRPr="004F5B29">
        <w:t>In the model</w:t>
      </w:r>
      <w:r>
        <w:t>-</w:t>
      </w:r>
      <w:r w:rsidRPr="004F5B29">
        <w:t xml:space="preserve">based </w:t>
      </w:r>
      <w:r>
        <w:t>approach</w:t>
      </w:r>
      <w:r w:rsidRPr="004F5B29">
        <w:t xml:space="preserve">, </w:t>
      </w:r>
      <w:r w:rsidRPr="00CC66CB">
        <w:t>Gradient Descent</w:t>
      </w:r>
      <w:r>
        <w:t xml:space="preserve"> may cause easily </w:t>
      </w:r>
      <w:r w:rsidRPr="004F5B29">
        <w:t>the local optimal solution</w:t>
      </w:r>
      <w:r>
        <w:t>. One of</w:t>
      </w:r>
      <w:r w:rsidRPr="004F5B29">
        <w:t xml:space="preserve"> </w:t>
      </w:r>
      <w:r>
        <w:t>methods is to</w:t>
      </w:r>
      <w:r w:rsidRPr="004F5B29">
        <w:t xml:space="preserve"> use </w:t>
      </w:r>
      <w:r>
        <w:t xml:space="preserve">the </w:t>
      </w:r>
      <w:r w:rsidRPr="004F5B29">
        <w:t>modern optimization algorithms</w:t>
      </w:r>
      <w:r w:rsidR="00B03276">
        <w:t xml:space="preserve"> (like PSO, GA)</w:t>
      </w:r>
      <w:r w:rsidRPr="004F5B29">
        <w:t xml:space="preserve"> and so on.</w:t>
      </w:r>
    </w:p>
    <w:p w:rsidR="004D1449" w:rsidRDefault="004D1449" w:rsidP="004D1449">
      <w:pPr>
        <w:pStyle w:val="a7"/>
        <w:numPr>
          <w:ilvl w:val="0"/>
          <w:numId w:val="1"/>
        </w:numPr>
        <w:ind w:firstLineChars="0"/>
      </w:pPr>
      <w:r>
        <w:t>Maybe we could make some parameter self-adaptive, like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in neighborhood-based approach. </w:t>
      </w:r>
      <w:r>
        <w:t xml:space="preserve">Just according to the experiment result, maybe there is some relation between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and density of matrix.</w:t>
      </w:r>
    </w:p>
    <w:p w:rsidR="004D1449" w:rsidRPr="004F5B29" w:rsidRDefault="004D1449" w:rsidP="004D144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We could consider </w:t>
      </w:r>
      <w:r>
        <w:t>the updates of services into the approach. For example, we could weight the time, which leads to that newer the data is, greater the weight is.</w:t>
      </w:r>
      <w:bookmarkStart w:id="0" w:name="_GoBack"/>
      <w:bookmarkEnd w:id="0"/>
    </w:p>
    <w:sectPr w:rsidR="004D1449" w:rsidRPr="004F5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298" w:rsidRDefault="005B0298" w:rsidP="004174E5">
      <w:r>
        <w:separator/>
      </w:r>
    </w:p>
  </w:endnote>
  <w:endnote w:type="continuationSeparator" w:id="0">
    <w:p w:rsidR="005B0298" w:rsidRDefault="005B0298" w:rsidP="00417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298" w:rsidRDefault="005B0298" w:rsidP="004174E5">
      <w:r>
        <w:separator/>
      </w:r>
    </w:p>
  </w:footnote>
  <w:footnote w:type="continuationSeparator" w:id="0">
    <w:p w:rsidR="005B0298" w:rsidRDefault="005B0298" w:rsidP="00417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71B9C"/>
    <w:multiLevelType w:val="hybridMultilevel"/>
    <w:tmpl w:val="2EF24FA6"/>
    <w:lvl w:ilvl="0" w:tplc="41967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E93E85"/>
    <w:multiLevelType w:val="hybridMultilevel"/>
    <w:tmpl w:val="662650C6"/>
    <w:lvl w:ilvl="0" w:tplc="EA94C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C1"/>
    <w:rsid w:val="00002253"/>
    <w:rsid w:val="000344B5"/>
    <w:rsid w:val="0007593F"/>
    <w:rsid w:val="000B01F1"/>
    <w:rsid w:val="000B3C9E"/>
    <w:rsid w:val="000C1AC4"/>
    <w:rsid w:val="000D7E8C"/>
    <w:rsid w:val="000F2F10"/>
    <w:rsid w:val="00113DCA"/>
    <w:rsid w:val="00125C7A"/>
    <w:rsid w:val="001352C5"/>
    <w:rsid w:val="001452B9"/>
    <w:rsid w:val="001464A6"/>
    <w:rsid w:val="00166345"/>
    <w:rsid w:val="001666E8"/>
    <w:rsid w:val="0019763D"/>
    <w:rsid w:val="001D51F0"/>
    <w:rsid w:val="001E3E5A"/>
    <w:rsid w:val="001F4306"/>
    <w:rsid w:val="001F6095"/>
    <w:rsid w:val="00205C7C"/>
    <w:rsid w:val="00227364"/>
    <w:rsid w:val="0024422C"/>
    <w:rsid w:val="002548D3"/>
    <w:rsid w:val="00257216"/>
    <w:rsid w:val="0029354D"/>
    <w:rsid w:val="002A2BEF"/>
    <w:rsid w:val="002C1426"/>
    <w:rsid w:val="002F5BD1"/>
    <w:rsid w:val="002F7CF4"/>
    <w:rsid w:val="00320250"/>
    <w:rsid w:val="003A76A3"/>
    <w:rsid w:val="003C4421"/>
    <w:rsid w:val="003E50D1"/>
    <w:rsid w:val="003F09C5"/>
    <w:rsid w:val="00415753"/>
    <w:rsid w:val="00417091"/>
    <w:rsid w:val="004174E5"/>
    <w:rsid w:val="00421175"/>
    <w:rsid w:val="004356E4"/>
    <w:rsid w:val="0044406B"/>
    <w:rsid w:val="00471ABA"/>
    <w:rsid w:val="00473426"/>
    <w:rsid w:val="00497602"/>
    <w:rsid w:val="004B5CEA"/>
    <w:rsid w:val="004C2CF8"/>
    <w:rsid w:val="004D1449"/>
    <w:rsid w:val="004E582B"/>
    <w:rsid w:val="004F0B03"/>
    <w:rsid w:val="004F3BD1"/>
    <w:rsid w:val="004F4CF5"/>
    <w:rsid w:val="004F5B29"/>
    <w:rsid w:val="0052302B"/>
    <w:rsid w:val="005436A6"/>
    <w:rsid w:val="00552EF5"/>
    <w:rsid w:val="005727A7"/>
    <w:rsid w:val="005955BD"/>
    <w:rsid w:val="005A30D8"/>
    <w:rsid w:val="005B0298"/>
    <w:rsid w:val="005B0A9E"/>
    <w:rsid w:val="005B66E8"/>
    <w:rsid w:val="00636638"/>
    <w:rsid w:val="00642B54"/>
    <w:rsid w:val="006573DE"/>
    <w:rsid w:val="006F45C5"/>
    <w:rsid w:val="006F4F29"/>
    <w:rsid w:val="0073067F"/>
    <w:rsid w:val="00736811"/>
    <w:rsid w:val="00795280"/>
    <w:rsid w:val="007957C9"/>
    <w:rsid w:val="007966EB"/>
    <w:rsid w:val="007A5281"/>
    <w:rsid w:val="007E57EB"/>
    <w:rsid w:val="007E5F94"/>
    <w:rsid w:val="00823DEE"/>
    <w:rsid w:val="00863A64"/>
    <w:rsid w:val="008C645B"/>
    <w:rsid w:val="008D5EC2"/>
    <w:rsid w:val="008E1DC8"/>
    <w:rsid w:val="009015EF"/>
    <w:rsid w:val="00903E42"/>
    <w:rsid w:val="0093531E"/>
    <w:rsid w:val="00936014"/>
    <w:rsid w:val="009A3C53"/>
    <w:rsid w:val="009B51EE"/>
    <w:rsid w:val="009D7EF4"/>
    <w:rsid w:val="009F38BF"/>
    <w:rsid w:val="009F684C"/>
    <w:rsid w:val="00A374B3"/>
    <w:rsid w:val="00A679BF"/>
    <w:rsid w:val="00A7766D"/>
    <w:rsid w:val="00A86941"/>
    <w:rsid w:val="00A86AC6"/>
    <w:rsid w:val="00B03276"/>
    <w:rsid w:val="00B131BB"/>
    <w:rsid w:val="00B148A9"/>
    <w:rsid w:val="00B23E87"/>
    <w:rsid w:val="00B248F1"/>
    <w:rsid w:val="00B25DEA"/>
    <w:rsid w:val="00B44B03"/>
    <w:rsid w:val="00B8321D"/>
    <w:rsid w:val="00B85C31"/>
    <w:rsid w:val="00B87B1B"/>
    <w:rsid w:val="00BA27D8"/>
    <w:rsid w:val="00BE20D3"/>
    <w:rsid w:val="00C12FEE"/>
    <w:rsid w:val="00C143FC"/>
    <w:rsid w:val="00C31C6F"/>
    <w:rsid w:val="00C32B76"/>
    <w:rsid w:val="00C81FAD"/>
    <w:rsid w:val="00C93A17"/>
    <w:rsid w:val="00CB167A"/>
    <w:rsid w:val="00CC0A93"/>
    <w:rsid w:val="00CC22A1"/>
    <w:rsid w:val="00CC66CB"/>
    <w:rsid w:val="00CE08FA"/>
    <w:rsid w:val="00D93E1B"/>
    <w:rsid w:val="00D942CA"/>
    <w:rsid w:val="00DB69C2"/>
    <w:rsid w:val="00DC11EA"/>
    <w:rsid w:val="00DD5B65"/>
    <w:rsid w:val="00DF2A6A"/>
    <w:rsid w:val="00DF39E8"/>
    <w:rsid w:val="00E04E00"/>
    <w:rsid w:val="00E2773F"/>
    <w:rsid w:val="00E40DBC"/>
    <w:rsid w:val="00E57732"/>
    <w:rsid w:val="00E733EC"/>
    <w:rsid w:val="00E8635C"/>
    <w:rsid w:val="00EA2143"/>
    <w:rsid w:val="00EB41F8"/>
    <w:rsid w:val="00EB738C"/>
    <w:rsid w:val="00ED6DEF"/>
    <w:rsid w:val="00F00330"/>
    <w:rsid w:val="00F13AF6"/>
    <w:rsid w:val="00F26267"/>
    <w:rsid w:val="00F26756"/>
    <w:rsid w:val="00F35437"/>
    <w:rsid w:val="00F46CB5"/>
    <w:rsid w:val="00F73B21"/>
    <w:rsid w:val="00F804C1"/>
    <w:rsid w:val="00F858A5"/>
    <w:rsid w:val="00F951BC"/>
    <w:rsid w:val="00FB5B19"/>
    <w:rsid w:val="00FC46DE"/>
    <w:rsid w:val="00FD209F"/>
    <w:rsid w:val="00FE0292"/>
    <w:rsid w:val="00FE2FA6"/>
    <w:rsid w:val="00FE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E3203F-B750-4428-9627-D5352776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35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0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5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354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17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4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30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51BC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795280"/>
    <w:rPr>
      <w:color w:val="808080"/>
    </w:rPr>
  </w:style>
  <w:style w:type="paragraph" w:customStyle="1" w:styleId="a6">
    <w:name w:val="公式排序"/>
    <w:basedOn w:val="a"/>
    <w:qFormat/>
    <w:rsid w:val="001452B9"/>
    <w:pPr>
      <w:tabs>
        <w:tab w:val="center" w:pos="3990"/>
        <w:tab w:val="right" w:pos="7980"/>
      </w:tabs>
      <w:spacing w:beforeLines="100" w:before="100" w:afterLines="100" w:after="100"/>
      <w:jc w:val="center"/>
      <w:textAlignment w:val="center"/>
    </w:pPr>
    <w:rPr>
      <w:szCs w:val="21"/>
    </w:rPr>
  </w:style>
  <w:style w:type="paragraph" w:styleId="a7">
    <w:name w:val="List Paragraph"/>
    <w:basedOn w:val="a"/>
    <w:uiPriority w:val="34"/>
    <w:qFormat/>
    <w:rsid w:val="004F5B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1498</Words>
  <Characters>8540</Characters>
  <Application>Microsoft Office Word</Application>
  <DocSecurity>0</DocSecurity>
  <Lines>71</Lines>
  <Paragraphs>20</Paragraphs>
  <ScaleCrop>false</ScaleCrop>
  <Company/>
  <LinksUpToDate>false</LinksUpToDate>
  <CharactersWithSpaces>10018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284</cp:revision>
  <dcterms:created xsi:type="dcterms:W3CDTF">2016-09-26T01:06:00Z</dcterms:created>
  <dcterms:modified xsi:type="dcterms:W3CDTF">2016-10-12T03:20:00Z</dcterms:modified>
</cp:coreProperties>
</file>