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following approach helps to analyze customer reviews and sentiments about the product purchase or used: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Introduction: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Background information on diabetes and its prevalence.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Importance of diabetes prediction for early intervention.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Data Collection: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Explanation of the dataset used.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Description of variables and features considered.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 Data Preprocessing: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Data cleaning and handling missing values.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Feature engineering, if applicable.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Exploratory Data Analysis (EDA):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Summary statistics and visualizations of the dataset.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- Identification of potential correlations between variables.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Methodology: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Description of the predictive model(s) used (e.g., logistic regression, random forest, neural networks).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Splitting data into training and testing sets.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Model Training: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- Details on how the model was trained.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- Hyperparameter tuning, if performed.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7. Model Evaluation: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- Metrics used for evaluation (e.g., accuracy, precision, recall, F1-score).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- Performance of the model on the test dataset.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Confusion matrix or ROC curves, if applicable.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 Results and Discussion: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- Interpretation of model results.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Identification of key predictors for diabetes.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Discussion of the model's strengths and weaknesses.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9. Conclusion: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- Summary of the report's main findings.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- Implications for diabetes prevention and management.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