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To‘qima deb nimaga aytiladi va uning klassifikatsiyas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Poyaning ichki tuzilishini tushuntirib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Urug’ni unishi uchun zarur muhit qanday bo’lishi kerakligini misollar yordamida tushuntiring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Qoplovchi to‘qimalarning qanday xillari mavjud va vazifasi?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zignema tuzilishi va ko`payishini bayon qiling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