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Gulli o’simliklar urug’larining tuzilishi va turlari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Bir yoki ikki uyli gullar qaysi qismlardan iborat?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Botanika fanining rivojlanish tarixi(Navashin,Sukachev,Vavilov,Korovin) ni yozing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Sun’iy vegetativ ko‘payishni qanaqa turlari bo’ladi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urug’larni tarqalishini tushuntirib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