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before="0"/>
        <w:jc w:val="center"/>
      </w:pPr>
      <w:r>
        <w:rPr>
          <w:b/>
          <w:bCs/>
          <w:color w:val="1A3A5C"/>
          <w:sz w:val="52"/>
          <w:szCs w:val="52"/>
        </w:rPr>
        <w:t xml:space="preserve">K-Safety Proposal Generator</w:t>
      </w:r>
    </w:p>
    <w:p>
      <w:pPr>
        <w:spacing w:after="80" w:before="0"/>
        <w:jc w:val="center"/>
      </w:pPr>
      <w:r>
        <w:rPr>
          <w:b/>
          <w:bCs/>
          <w:color w:val="1E6BA8"/>
          <w:sz w:val="64"/>
          <w:szCs w:val="64"/>
        </w:rPr>
        <w:t xml:space="preserve">Release Notes</w:t>
      </w:r>
    </w:p>
    <w:p>
      <w:pPr>
        <w:pBdr>
          <w:bottom w:val="single" w:color="F0A500" w:sz="8" w:space="1"/>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A3A5C" w:val="clear"/>
            <w:tcMar>
              <w:top w:type="dxa" w:w="100"/>
              <w:left w:type="dxa" w:w="160"/>
              <w:bottom w:type="dxa" w:w="100"/>
              <w:right w:type="dxa" w:w="160"/>
            </w:tcMar>
          </w:tcPr>
          <w:p>
            <w:pPr>
              <w:spacing w:after="0" w:before="0"/>
            </w:pPr>
            <w:r>
              <w:rPr>
                <w:b/>
                <w:bCs/>
                <w:color w:val="FFFFFF"/>
                <w:sz w:val="20"/>
                <w:szCs w:val="20"/>
              </w:rPr>
              <w:t xml:space="preserve">Version</w:t>
            </w:r>
          </w:p>
        </w:tc>
        <w:tc>
          <w:tcPr>
            <w:tcW w:type="dxa" w:w="716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spacing w:after="0" w:before="0"/>
            </w:pPr>
            <w:r>
              <w:rPr>
                <w:b/>
                <w:bCs/>
                <w:color w:val="1E6BA8"/>
                <w:sz w:val="24"/>
                <w:szCs w:val="24"/>
              </w:rPr>
              <w:t xml:space="preserve">v2.0.0</w:t>
            </w:r>
          </w:p>
        </w:tc>
      </w:tr>
      <w:tr>
        <w:tc>
          <w:tcPr>
            <w:tcW w:type="dxa" w:w="2200"/>
            <w:tcBorders>
              <w:top w:val="single" w:color="D1D5DB" w:sz="1"/>
              <w:left w:val="single" w:color="D1D5DB" w:sz="1"/>
              <w:bottom w:val="single" w:color="D1D5DB" w:sz="1"/>
              <w:right w:val="single" w:color="D1D5DB" w:sz="1"/>
            </w:tcBorders>
            <w:shd w:fill="1A3A5C" w:val="clear"/>
            <w:tcMar>
              <w:top w:type="dxa" w:w="100"/>
              <w:left w:type="dxa" w:w="160"/>
              <w:bottom w:type="dxa" w:w="100"/>
              <w:right w:type="dxa" w:w="160"/>
            </w:tcMar>
          </w:tcPr>
          <w:p>
            <w:pPr>
              <w:spacing w:after="0" w:before="0"/>
            </w:pPr>
            <w:r>
              <w:rPr>
                <w:b/>
                <w:bCs/>
                <w:color w:val="FFFFFF"/>
                <w:sz w:val="20"/>
                <w:szCs w:val="20"/>
              </w:rPr>
              <w:t xml:space="preserve">Release Date</w:t>
            </w:r>
          </w:p>
        </w:tc>
        <w:tc>
          <w:tcPr>
            <w:tcW w:type="dxa" w:w="716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spacing w:after="0" w:before="0"/>
            </w:pPr>
            <w:r>
              <w:rPr>
                <w:color w:val="1E293B"/>
                <w:sz w:val="20"/>
                <w:szCs w:val="20"/>
              </w:rPr>
              <w:t xml:space="preserve">April 2026</w:t>
            </w:r>
          </w:p>
        </w:tc>
      </w:tr>
      <w:tr>
        <w:tc>
          <w:tcPr>
            <w:tcW w:type="dxa" w:w="2200"/>
            <w:tcBorders>
              <w:top w:val="single" w:color="D1D5DB" w:sz="1"/>
              <w:left w:val="single" w:color="D1D5DB" w:sz="1"/>
              <w:bottom w:val="single" w:color="D1D5DB" w:sz="1"/>
              <w:right w:val="single" w:color="D1D5DB" w:sz="1"/>
            </w:tcBorders>
            <w:shd w:fill="1A3A5C" w:val="clear"/>
            <w:tcMar>
              <w:top w:type="dxa" w:w="100"/>
              <w:left w:type="dxa" w:w="160"/>
              <w:bottom w:type="dxa" w:w="100"/>
              <w:right w:type="dxa" w:w="160"/>
            </w:tcMar>
          </w:tcPr>
          <w:p>
            <w:pPr>
              <w:spacing w:after="0" w:before="0"/>
            </w:pPr>
            <w:r>
              <w:rPr>
                <w:b/>
                <w:bCs/>
                <w:color w:val="FFFFFF"/>
                <w:sz w:val="20"/>
                <w:szCs w:val="20"/>
              </w:rPr>
              <w:t xml:space="preserve">Product</w:t>
            </w:r>
          </w:p>
        </w:tc>
        <w:tc>
          <w:tcPr>
            <w:tcW w:type="dxa" w:w="716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spacing w:after="0" w:before="0"/>
            </w:pPr>
            <w:r>
              <w:rPr>
                <w:color w:val="1E293B"/>
                <w:sz w:val="20"/>
                <w:szCs w:val="20"/>
              </w:rPr>
              <w:t xml:space="preserve">K-Safety Proposal Generator — Kabatone Sales Tool</w:t>
            </w:r>
          </w:p>
        </w:tc>
      </w:tr>
      <w:tr>
        <w:tc>
          <w:tcPr>
            <w:tcW w:type="dxa" w:w="2200"/>
            <w:tcBorders>
              <w:top w:val="single" w:color="D1D5DB" w:sz="1"/>
              <w:left w:val="single" w:color="D1D5DB" w:sz="1"/>
              <w:bottom w:val="single" w:color="D1D5DB" w:sz="1"/>
              <w:right w:val="single" w:color="D1D5DB" w:sz="1"/>
            </w:tcBorders>
            <w:shd w:fill="1A3A5C" w:val="clear"/>
            <w:tcMar>
              <w:top w:type="dxa" w:w="100"/>
              <w:left w:type="dxa" w:w="160"/>
              <w:bottom w:type="dxa" w:w="100"/>
              <w:right w:type="dxa" w:w="160"/>
            </w:tcMar>
          </w:tcPr>
          <w:p>
            <w:pPr>
              <w:spacing w:after="0" w:before="0"/>
            </w:pPr>
            <w:r>
              <w:rPr>
                <w:b/>
                <w:bCs/>
                <w:color w:val="FFFFFF"/>
                <w:sz w:val="20"/>
                <w:szCs w:val="20"/>
              </w:rPr>
              <w:t xml:space="preserve">Prepared by</w:t>
            </w:r>
          </w:p>
        </w:tc>
        <w:tc>
          <w:tcPr>
            <w:tcW w:type="dxa" w:w="716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spacing w:after="0" w:before="0"/>
            </w:pPr>
            <w:r>
              <w:rPr>
                <w:color w:val="1E293B"/>
                <w:sz w:val="20"/>
                <w:szCs w:val="20"/>
              </w:rPr>
              <w:t xml:space="preserve">Kabatone R&amp;D Team</w:t>
            </w:r>
          </w:p>
        </w:tc>
      </w:tr>
    </w:tbl>
    <w:p>
      <w:pPr>
        <w:spacing w:after="160"/>
      </w:pPr>
    </w:p>
    <w:p>
      <w:pPr>
        <w:pStyle w:val="Heading1"/>
      </w:pPr>
      <w:r>
        <w:t xml:space="preserve">What's New in v2.0</w:t>
      </w:r>
    </w:p>
    <w:p>
      <w:pPr>
        <w:pBdr>
          <w:bottom w:val="single" w:color="29ABE2" w:sz="8" w:space="1"/>
        </w:pBdr>
        <w:spacing w:after="0"/>
      </w:pPr>
    </w:p>
    <w:p>
      <w:pPr>
        <w:spacing w:after="80"/>
      </w:pPr>
    </w:p>
    <w:p>
      <w:pPr>
        <w:spacing w:after="80" w:before="40"/>
        <w:jc w:val="left"/>
      </w:pPr>
      <w:r>
        <w:rPr>
          <w:color w:val="1E293B"/>
          <w:sz w:val="20"/>
          <w:szCs w:val="20"/>
        </w:rPr>
        <w:t xml:space="preserve">Version 2.0 is a major update to the K-Safety Proposal Generator. It delivers a fully redesigned proposal preview page that now matches Kabatone's official proposal template, complete PDF and Word export fidelity, hardened security settings, and a new admin password management capability. All five bugs reported during v1.7.0 testing have also been resolved.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3A5C" w:val="clear"/>
            <w:tcMar>
              <w:top w:type="dxa" w:w="140"/>
              <w:left w:type="dxa" w:w="120"/>
              <w:bottom w:type="dxa" w:w="140"/>
              <w:right w:type="dxa" w:w="120"/>
            </w:tcMar>
          </w:tcPr>
          <w:p>
            <w:pPr>
              <w:spacing w:after="0" w:before="0"/>
              <w:jc w:val="center"/>
            </w:pPr>
            <w:r>
              <w:rPr>
                <w:b/>
                <w:bCs/>
                <w:color w:val="F0A500"/>
                <w:sz w:val="48"/>
                <w:szCs w:val="48"/>
              </w:rPr>
              <w:t xml:space="preserve">5</w:t>
            </w:r>
          </w:p>
          <w:p>
            <w:pPr>
              <w:spacing w:after="0" w:before="0"/>
              <w:jc w:val="center"/>
            </w:pPr>
            <w:r>
              <w:rPr>
                <w:color w:val="FFFFFF"/>
                <w:sz w:val="18"/>
                <w:szCs w:val="18"/>
              </w:rPr>
              <w:t xml:space="preserve">Bug Fixes</w:t>
            </w:r>
          </w:p>
        </w:tc>
        <w:tc>
          <w:tcPr>
            <w:tcW w:type="dxa" w:w="2340"/>
            <w:tcBorders>
              <w:top w:val="single" w:color="D1D5DB" w:sz="1"/>
              <w:left w:val="single" w:color="D1D5DB" w:sz="1"/>
              <w:bottom w:val="single" w:color="D1D5DB" w:sz="1"/>
              <w:right w:val="single" w:color="D1D5DB" w:sz="1"/>
            </w:tcBorders>
            <w:shd w:fill="1E6BA8" w:val="clear"/>
            <w:tcMar>
              <w:top w:type="dxa" w:w="140"/>
              <w:left w:type="dxa" w:w="120"/>
              <w:bottom w:type="dxa" w:w="140"/>
              <w:right w:type="dxa" w:w="120"/>
            </w:tcMar>
          </w:tcPr>
          <w:p>
            <w:pPr>
              <w:spacing w:after="0" w:before="0"/>
              <w:jc w:val="center"/>
            </w:pPr>
            <w:r>
              <w:rPr>
                <w:b/>
                <w:bCs/>
                <w:color w:val="FFFFFF"/>
                <w:sz w:val="48"/>
                <w:szCs w:val="48"/>
              </w:rPr>
              <w:t xml:space="preserve">4</w:t>
            </w:r>
          </w:p>
          <w:p>
            <w:pPr>
              <w:spacing w:after="0" w:before="0"/>
              <w:jc w:val="center"/>
            </w:pPr>
            <w:r>
              <w:rPr>
                <w:color w:val="FFFFFF"/>
                <w:sz w:val="18"/>
                <w:szCs w:val="18"/>
              </w:rPr>
              <w:t xml:space="preserve">New Features</w:t>
            </w:r>
          </w:p>
        </w:tc>
        <w:tc>
          <w:tcPr>
            <w:tcW w:type="dxa" w:w="2340"/>
            <w:tcBorders>
              <w:top w:val="single" w:color="D1D5DB" w:sz="1"/>
              <w:left w:val="single" w:color="D1D5DB" w:sz="1"/>
              <w:bottom w:val="single" w:color="D1D5DB" w:sz="1"/>
              <w:right w:val="single" w:color="D1D5DB" w:sz="1"/>
            </w:tcBorders>
            <w:shd w:fill="29ABE2" w:val="clear"/>
            <w:tcMar>
              <w:top w:type="dxa" w:w="140"/>
              <w:left w:type="dxa" w:w="120"/>
              <w:bottom w:type="dxa" w:w="140"/>
              <w:right w:type="dxa" w:w="120"/>
            </w:tcMar>
          </w:tcPr>
          <w:p>
            <w:pPr>
              <w:spacing w:after="0" w:before="0"/>
              <w:jc w:val="center"/>
            </w:pPr>
            <w:r>
              <w:rPr>
                <w:b/>
                <w:bCs/>
                <w:color w:val="FFFFFF"/>
                <w:sz w:val="48"/>
                <w:szCs w:val="48"/>
              </w:rPr>
              <w:t xml:space="preserve">4</w:t>
            </w:r>
          </w:p>
          <w:p>
            <w:pPr>
              <w:spacing w:after="0" w:before="0"/>
              <w:jc w:val="center"/>
            </w:pPr>
            <w:r>
              <w:rPr>
                <w:color w:val="FFFFFF"/>
                <w:sz w:val="18"/>
                <w:szCs w:val="18"/>
              </w:rPr>
              <w:t xml:space="preserve">Improvements</w:t>
            </w:r>
          </w:p>
        </w:tc>
        <w:tc>
          <w:tcPr>
            <w:tcW w:type="dxa" w:w="2340"/>
            <w:tcBorders>
              <w:top w:val="single" w:color="D1D5DB" w:sz="1"/>
              <w:left w:val="single" w:color="D1D5DB" w:sz="1"/>
              <w:bottom w:val="single" w:color="D1D5DB" w:sz="1"/>
              <w:right w:val="single" w:color="D1D5DB" w:sz="1"/>
            </w:tcBorders>
            <w:shd w:fill="166534" w:val="clear"/>
            <w:tcMar>
              <w:top w:type="dxa" w:w="140"/>
              <w:left w:type="dxa" w:w="120"/>
              <w:bottom w:type="dxa" w:w="140"/>
              <w:right w:type="dxa" w:w="120"/>
            </w:tcMar>
          </w:tcPr>
          <w:p>
            <w:pPr>
              <w:spacing w:after="0" w:before="0"/>
              <w:jc w:val="center"/>
            </w:pPr>
            <w:r>
              <w:rPr>
                <w:b/>
                <w:bCs/>
                <w:color w:val="FFFFFF"/>
                <w:sz w:val="48"/>
                <w:szCs w:val="48"/>
              </w:rPr>
              <w:t xml:space="preserve">1</w:t>
            </w:r>
          </w:p>
          <w:p>
            <w:pPr>
              <w:spacing w:after="0" w:before="0"/>
              <w:jc w:val="center"/>
            </w:pPr>
            <w:r>
              <w:rPr>
                <w:color w:val="FFFFFF"/>
                <w:sz w:val="18"/>
                <w:szCs w:val="18"/>
              </w:rPr>
              <w:t xml:space="preserve">Security Fix</w:t>
            </w:r>
          </w:p>
        </w:tc>
      </w:tr>
    </w:tbl>
    <w:p>
      <w:pPr>
        <w:spacing w:after="200"/>
      </w:pPr>
    </w:p>
    <w:p>
      <w:pPr>
        <w:pStyle w:val="Heading1"/>
      </w:pPr>
      <w:r>
        <w:t xml:space="preserve">New Features</w:t>
      </w:r>
    </w:p>
    <w:p>
      <w:pPr>
        <w:pBdr>
          <w:bottom w:val="single" w:color="29ABE2" w:sz="8" w:space="1"/>
        </w:pBdr>
        <w:spacing w:after="0"/>
      </w:pPr>
    </w:p>
    <w:p>
      <w:pPr>
        <w:spacing w:after="80"/>
      </w:pPr>
    </w:p>
    <w:p>
      <w:pPr>
        <w:pStyle w:val="Heading2"/>
      </w:pPr>
      <w:r>
        <w:t xml:space="preserve">1. Proposal Preview — Full Redesign (Step 6)</w:t>
      </w:r>
    </w:p>
    <w:p>
      <w:pPr>
        <w:spacing w:after="80" w:before="40"/>
        <w:jc w:val="left"/>
      </w:pPr>
      <w:r>
        <w:rPr>
          <w:color w:val="1E293B"/>
          <w:sz w:val="20"/>
          <w:szCs w:val="20"/>
        </w:rPr>
        <w:t xml:space="preserve">The last step of the proposal wizard has been completely redesigned to match Kabatone's official proposal template (ProposalTemplate_EN). The preview now renders a full, print-ready proposal directly in the browser.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b/>
                <w:bCs/>
                <w:color w:val="1A3A5C"/>
                <w:sz w:val="20"/>
                <w:szCs w:val="20"/>
              </w:rPr>
              <w:t xml:space="preserve">Hero Block</w:t>
            </w:r>
          </w:p>
        </w:tc>
        <w:tc>
          <w:tcPr>
            <w:tcW w:type="dxa" w:w="64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color w:val="64748B"/>
                <w:sz w:val="20"/>
                <w:szCs w:val="20"/>
              </w:rPr>
              <w:t xml:space="preserve">Gradient dark-blue/teal header with K logo, product name, subtitle, and sector pills. Shows customer name, date, and a CONFIDENTIAL badge.</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b/>
                <w:bCs/>
                <w:color w:val="1A3A5C"/>
                <w:sz w:val="20"/>
                <w:szCs w:val="20"/>
              </w:rPr>
              <w:t xml:space="preserve">Accent Band</w:t>
            </w:r>
          </w:p>
        </w:tc>
        <w:tc>
          <w:tcPr>
            <w:tcW w:type="dxa" w:w="6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64748B"/>
                <w:sz w:val="20"/>
                <w:szCs w:val="20"/>
              </w:rPr>
              <w:t xml:space="preserve">Dynamic teal bar listing all selected vendors and technology integrations.</w:t>
            </w:r>
          </w:p>
        </w:tc>
      </w:tr>
      <w:tr>
        <w:tc>
          <w:tcPr>
            <w:tcW w:type="dxa" w:w="5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b/>
                <w:bCs/>
                <w:color w:val="1A3A5C"/>
                <w:sz w:val="20"/>
                <w:szCs w:val="20"/>
              </w:rPr>
              <w:t xml:space="preserve">Product Overview</w:t>
            </w:r>
          </w:p>
        </w:tc>
        <w:tc>
          <w:tcPr>
            <w:tcW w:type="dxa" w:w="64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color w:val="64748B"/>
                <w:sz w:val="20"/>
                <w:szCs w:val="20"/>
              </w:rPr>
              <w:t xml:space="preserve">Contextual 'What is K-Safety/K-Video/K-Dispatch?' section with overview paragraph and investment callout card.</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b/>
                <w:bCs/>
                <w:color w:val="1A3A5C"/>
                <w:sz w:val="20"/>
                <w:szCs w:val="20"/>
              </w:rPr>
              <w:t xml:space="preserve">Core Capabilities</w:t>
            </w:r>
          </w:p>
        </w:tc>
        <w:tc>
          <w:tcPr>
            <w:tcW w:type="dxa" w:w="6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64748B"/>
                <w:sz w:val="20"/>
                <w:szCs w:val="20"/>
              </w:rPr>
              <w:t xml:space="preserve">Fixed grid of 11 standard capabilities shown consistently in every proposal, each with an icon and description.</w:t>
            </w:r>
          </w:p>
        </w:tc>
      </w:tr>
      <w:tr>
        <w:tc>
          <w:tcPr>
            <w:tcW w:type="dxa" w:w="5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b/>
                <w:bCs/>
                <w:color w:val="1A3A5C"/>
                <w:sz w:val="20"/>
                <w:szCs w:val="20"/>
              </w:rPr>
              <w:t xml:space="preserve">Use Cases</w:t>
            </w:r>
          </w:p>
        </w:tc>
        <w:tc>
          <w:tcPr>
            <w:tcW w:type="dxa" w:w="64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color w:val="64748B"/>
                <w:sz w:val="20"/>
                <w:szCs w:val="20"/>
              </w:rPr>
              <w:t xml:space="preserve">Three dark-gradient cards specific to each product line (Airports, Oil &amp; Gas, Critical Infrastructure for K-Safety; etc.).</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b/>
                <w:bCs/>
                <w:color w:val="1A3A5C"/>
                <w:sz w:val="20"/>
                <w:szCs w:val="20"/>
              </w:rPr>
              <w:t xml:space="preserve">Integration Chips</w:t>
            </w:r>
          </w:p>
        </w:tc>
        <w:tc>
          <w:tcPr>
            <w:tcW w:type="dxa" w:w="6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64748B"/>
                <w:sz w:val="20"/>
                <w:szCs w:val="20"/>
              </w:rPr>
              <w:t xml:space="preserve">Visual chips for each vendor integration with green (ready) or amber (in development) status indicators.</w:t>
            </w:r>
          </w:p>
        </w:tc>
      </w:tr>
      <w:tr>
        <w:tc>
          <w:tcPr>
            <w:tcW w:type="dxa" w:w="5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b/>
                <w:bCs/>
                <w:color w:val="1A3A5C"/>
                <w:sz w:val="20"/>
                <w:szCs w:val="20"/>
              </w:rPr>
              <w:t xml:space="preserve">Pricing Table</w:t>
            </w:r>
          </w:p>
        </w:tc>
        <w:tc>
          <w:tcPr>
            <w:tcW w:type="dxa" w:w="64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color w:val="64748B"/>
                <w:sz w:val="20"/>
                <w:szCs w:val="20"/>
              </w:rPr>
              <w:t xml:space="preserve">Redesigned pricing table with category separator rows (Platform &amp; Licenses / Services), discount row, and highlighted grand total.</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b/>
                <w:bCs/>
                <w:color w:val="1A3A5C"/>
                <w:sz w:val="20"/>
                <w:szCs w:val="20"/>
              </w:rPr>
              <w:t xml:space="preserve">Business Model Box</w:t>
            </w:r>
          </w:p>
        </w:tc>
        <w:tc>
          <w:tcPr>
            <w:tcW w:type="dxa" w:w="6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64748B"/>
                <w:sz w:val="20"/>
                <w:szCs w:val="20"/>
              </w:rPr>
              <w:t xml:space="preserve">Side-by-side Annual vs. Perpetual comparison card with 5-year cost totals.</w:t>
            </w:r>
          </w:p>
        </w:tc>
      </w:tr>
      <w:tr>
        <w:tc>
          <w:tcPr>
            <w:tcW w:type="dxa" w:w="5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b/>
                <w:bCs/>
                <w:color w:val="1A3A5C"/>
                <w:sz w:val="20"/>
                <w:szCs w:val="20"/>
              </w:rPr>
              <w:t xml:space="preserve">HW Infrastructure</w:t>
            </w:r>
          </w:p>
        </w:tc>
        <w:tc>
          <w:tcPr>
            <w:tcW w:type="dxa" w:w="64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color w:val="64748B"/>
                <w:sz w:val="20"/>
                <w:szCs w:val="20"/>
              </w:rPr>
              <w:t xml:space="preserve">Server specifications table in the same compact format as the K1-Video table: Service / Instances / vCPU / RAM GB / HDD GB with a bold total row.</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b/>
                <w:bCs/>
                <w:color w:val="1A3A5C"/>
                <w:sz w:val="20"/>
                <w:szCs w:val="20"/>
              </w:rPr>
              <w:t xml:space="preserve">Why K-Safety?</w:t>
            </w:r>
          </w:p>
        </w:tc>
        <w:tc>
          <w:tcPr>
            <w:tcW w:type="dxa" w:w="6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64748B"/>
                <w:sz w:val="20"/>
                <w:szCs w:val="20"/>
              </w:rPr>
              <w:t xml:space="preserve">Two-column reasoning section: Technical Strengths (left) and Business Value (right), tailored per product line.</w:t>
            </w:r>
          </w:p>
        </w:tc>
      </w:tr>
      <w:tr>
        <w:tc>
          <w:tcPr>
            <w:tcW w:type="dxa" w:w="5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b/>
                <w:bCs/>
                <w:color w:val="1A3A5C"/>
                <w:sz w:val="20"/>
                <w:szCs w:val="20"/>
              </w:rPr>
              <w:t xml:space="preserve">AI Summary</w:t>
            </w:r>
          </w:p>
        </w:tc>
        <w:tc>
          <w:tcPr>
            <w:tcW w:type="dxa" w:w="64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color w:val="64748B"/>
                <w:sz w:val="20"/>
                <w:szCs w:val="20"/>
              </w:rPr>
              <w:t xml:space="preserve">AI-generated executive summary panel with Generate button, preserved in every save/export.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b/>
                <w:bCs/>
                <w:color w:val="1A3A5C"/>
                <w:sz w:val="20"/>
                <w:szCs w:val="20"/>
              </w:rPr>
              <w:t xml:space="preserve">CTA Footer</w:t>
            </w:r>
          </w:p>
        </w:tc>
        <w:tc>
          <w:tcPr>
            <w:tcW w:type="dxa" w:w="6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64748B"/>
                <w:sz w:val="20"/>
                <w:szCs w:val="20"/>
              </w:rPr>
              <w:t xml:space="preserve">Gradient footer with project name, prepared-by, contact details, and proposal validity date.</w:t>
            </w:r>
          </w:p>
        </w:tc>
      </w:tr>
    </w:tbl>
    <w:p>
      <w:pPr>
        <w:spacing w:after="160"/>
      </w:pPr>
    </w:p>
    <w:p>
      <w:pPr>
        <w:pStyle w:val="Heading2"/>
      </w:pPr>
      <w:r>
        <w:t xml:space="preserve">2. Export to PDF and Word — New Template</w:t>
      </w:r>
    </w:p>
    <w:p>
      <w:pPr>
        <w:spacing w:after="80" w:before="40"/>
        <w:jc w:val="left"/>
      </w:pPr>
      <w:r>
        <w:rPr>
          <w:color w:val="1E293B"/>
          <w:sz w:val="20"/>
          <w:szCs w:val="20"/>
        </w:rPr>
        <w:t xml:space="preserve">Both the Export to PDF and Export to Word functions have been fully rewritten to produce output that matches the new Step 6 preview. What you see in the browser is now exactly what appears in the exported document.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b/>
                <w:bCs/>
                <w:color w:val="1A3A5C"/>
                <w:sz w:val="20"/>
                <w:szCs w:val="20"/>
              </w:rPr>
              <w:t xml:space="preserve">PDF Export</w:t>
            </w:r>
          </w:p>
        </w:tc>
        <w:tc>
          <w:tcPr>
            <w:tcW w:type="dxa" w:w="64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color w:val="64748B"/>
                <w:sz w:val="20"/>
                <w:szCs w:val="20"/>
              </w:rPr>
              <w:t xml:space="preserve">New self-contained HTML template mirrors every section of the Step 6 redesign — hero, capabilities grid, use cases, pricing table, HW table, why section, and CTA footer. Optimised for A4 print.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b/>
                <w:bCs/>
                <w:color w:val="1A3A5C"/>
                <w:sz w:val="20"/>
                <w:szCs w:val="20"/>
              </w:rPr>
              <w:t xml:space="preserve">Word Export</w:t>
            </w:r>
          </w:p>
        </w:tc>
        <w:tc>
          <w:tcPr>
            <w:tcW w:type="dxa" w:w="6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64748B"/>
                <w:sz w:val="20"/>
                <w:szCs w:val="20"/>
              </w:rPr>
              <w:t xml:space="preserve">Docx rebuilt with 7 branded sections: cover, product overview, core capabilities, use cases, pricing + business model, HW infrastructure, and why/next steps. Calibri font, Kabatone brand colours, and page header/footer throughout.</w:t>
            </w:r>
          </w:p>
        </w:tc>
      </w:tr>
      <w:tr>
        <w:tc>
          <w:tcPr>
            <w:tcW w:type="dxa" w:w="5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b/>
                <w:bCs/>
                <w:color w:val="1A3A5C"/>
                <w:sz w:val="20"/>
                <w:szCs w:val="20"/>
              </w:rPr>
              <w:t xml:space="preserve">Live VM Rows Sync</w:t>
            </w:r>
          </w:p>
        </w:tc>
        <w:tc>
          <w:tcPr>
            <w:tcW w:type="dxa" w:w="64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color w:val="64748B"/>
                <w:sz w:val="20"/>
                <w:szCs w:val="20"/>
              </w:rPr>
              <w:t xml:space="preserve">Both exports now receive the user-edited server rows from Step 5. Any manual changes to server specs (vCPU, RAM, disk) are faithfully carried through to every export.</w:t>
            </w:r>
          </w:p>
        </w:tc>
      </w:tr>
    </w:tbl>
    <w:p>
      <w:pPr>
        <w:spacing w:after="160"/>
      </w:pPr>
    </w:p>
    <w:p>
      <w:pPr>
        <w:pStyle w:val="Heading2"/>
      </w:pPr>
      <w:r>
        <w:t xml:space="preserve">3. Admin — Password Management</w:t>
      </w:r>
    </w:p>
    <w:p>
      <w:pPr>
        <w:spacing w:after="80" w:before="40"/>
        <w:jc w:val="left"/>
      </w:pPr>
      <w:r>
        <w:rPr>
          <w:color w:val="1E293B"/>
          <w:sz w:val="20"/>
          <w:szCs w:val="20"/>
        </w:rPr>
        <w:t xml:space="preserve">Administrators can now reset passwords for any user in the system directly from the Admin panel, without requiring the user to request a reset themselves.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b/>
                <w:bCs/>
                <w:color w:val="1A3A5C"/>
                <w:sz w:val="20"/>
                <w:szCs w:val="20"/>
              </w:rPr>
              <w:t xml:space="preserve">Change Password Button</w:t>
            </w:r>
          </w:p>
        </w:tc>
        <w:tc>
          <w:tcPr>
            <w:tcW w:type="dxa" w:w="64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color w:val="64748B"/>
                <w:sz w:val="20"/>
                <w:szCs w:val="20"/>
              </w:rPr>
              <w:t xml:space="preserve">A new 'Change Password' button appears in the Actions column for every user row in the admin table.</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b/>
                <w:bCs/>
                <w:color w:val="1A3A5C"/>
                <w:sz w:val="20"/>
                <w:szCs w:val="20"/>
              </w:rPr>
              <w:t xml:space="preserve">Secure Modal</w:t>
            </w:r>
          </w:p>
        </w:tc>
        <w:tc>
          <w:tcPr>
            <w:tcW w:type="dxa" w:w="6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64748B"/>
                <w:sz w:val="20"/>
                <w:szCs w:val="20"/>
              </w:rPr>
              <w:t xml:space="preserve">Clicking the button opens a modal with a New Password field and a Confirm Password field. Validation enforces a minimum 6-character length and match between both fields.</w:t>
            </w:r>
          </w:p>
        </w:tc>
      </w:tr>
      <w:tr>
        <w:tc>
          <w:tcPr>
            <w:tcW w:type="dxa" w:w="5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b/>
                <w:bCs/>
                <w:color w:val="1A3A5C"/>
                <w:sz w:val="20"/>
                <w:szCs w:val="20"/>
              </w:rPr>
              <w:t xml:space="preserve">Success Feedback</w:t>
            </w:r>
          </w:p>
        </w:tc>
        <w:tc>
          <w:tcPr>
            <w:tcW w:type="dxa" w:w="64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color w:val="64748B"/>
                <w:sz w:val="20"/>
                <w:szCs w:val="20"/>
              </w:rPr>
              <w:t xml:space="preserve">On success, the modal shows a green confirmation tick and closes automatically after 1.5 seconds.</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b/>
                <w:bCs/>
                <w:color w:val="1A3A5C"/>
                <w:sz w:val="20"/>
                <w:szCs w:val="20"/>
              </w:rPr>
              <w:t xml:space="preserve">Server-side Guard</w:t>
            </w:r>
          </w:p>
        </w:tc>
        <w:tc>
          <w:tcPr>
            <w:tcW w:type="dxa" w:w="6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64748B"/>
                <w:sz w:val="20"/>
                <w:szCs w:val="20"/>
              </w:rPr>
              <w:t xml:space="preserve">The PATCH /api/admin/users/:id endpoint verifies the calling user is an admin before processing any password change. The target user can be of any role.</w:t>
            </w:r>
          </w:p>
        </w:tc>
      </w:tr>
    </w:tbl>
    <w:p>
      <w:pPr>
        <w:spacing w:after="160"/>
      </w:pPr>
    </w:p>
    <w:p>
      <w:pPr>
        <w:pStyle w:val="Heading2"/>
      </w:pPr>
      <w:r>
        <w:t xml:space="preserve">4. Customer Info — Auto-fill Sales Person</w:t>
      </w:r>
    </w:p>
    <w:p>
      <w:pPr>
        <w:spacing w:after="80" w:before="40"/>
        <w:jc w:val="left"/>
      </w:pPr>
      <w:r>
        <w:rPr>
          <w:color w:val="1E293B"/>
          <w:sz w:val="20"/>
          <w:szCs w:val="20"/>
        </w:rPr>
        <w:t xml:space="preserve">The 'Sales Person (Prepared by)' field in the Customer Information step is now pre-filled automatically with the name of the logged-in user. The field remains fully editable — the auto-fill only applies when the field is empty (i.e. it will not overwrite a name already entered or loaded from a saved proposal).</w:t>
      </w:r>
    </w:p>
    <w:p>
      <w:pPr>
        <w:spacing w:after="200"/>
      </w:pPr>
    </w:p>
    <w:p>
      <w:pPr>
        <w:pStyle w:val="Heading1"/>
      </w:pPr>
      <w:r>
        <w:t xml:space="preserve">Improvements</w:t>
      </w:r>
    </w:p>
    <w:p>
      <w:pPr>
        <w:pBdr>
          <w:bottom w:val="single" w:color="29ABE2" w:sz="8" w:space="1"/>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b/>
                <w:bCs/>
                <w:color w:val="1A3A5C"/>
                <w:sz w:val="20"/>
                <w:szCs w:val="20"/>
              </w:rPr>
              <w:t xml:space="preserve">Core Capabilities — Standardised</w:t>
            </w:r>
          </w:p>
        </w:tc>
        <w:tc>
          <w:tcPr>
            <w:tcW w:type="dxa" w:w="64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color w:val="64748B"/>
                <w:sz w:val="20"/>
                <w:szCs w:val="20"/>
              </w:rPr>
              <w:t xml:space="preserve">The capabilities grid in Step 6 now shows a fixed list of 11 platform capabilities in every proposal, regardless of which modules are selected. Previously, the list was dynamically derived from selected products and could show inconsistent or incomplete sets.</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b/>
                <w:bCs/>
                <w:color w:val="1A3A5C"/>
                <w:sz w:val="20"/>
                <w:szCs w:val="20"/>
              </w:rPr>
              <w:t xml:space="preserve">Use Case Card Titles</w:t>
            </w:r>
          </w:p>
        </w:tc>
        <w:tc>
          <w:tcPr>
            <w:tcW w:type="dxa" w:w="6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64748B"/>
                <w:sz w:val="20"/>
                <w:szCs w:val="20"/>
              </w:rPr>
              <w:t xml:space="preserve">Title text on the dark-gradient use case cards ('Airports', 'Oil &amp; Gas Facilities', 'Critical Infrastructure', etc.) is now explicitly set to white. Some browser configurations rendered them in a dark inherited colour.</w:t>
            </w:r>
          </w:p>
        </w:tc>
      </w:tr>
      <w:tr>
        <w:tc>
          <w:tcPr>
            <w:tcW w:type="dxa" w:w="5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b/>
                <w:bCs/>
                <w:color w:val="1A3A5C"/>
                <w:sz w:val="20"/>
                <w:szCs w:val="20"/>
              </w:rPr>
              <w:t xml:space="preserve">HW Table Format</w:t>
            </w:r>
          </w:p>
        </w:tc>
        <w:tc>
          <w:tcPr>
            <w:tcW w:type="dxa" w:w="64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color w:val="64748B"/>
                <w:sz w:val="20"/>
                <w:szCs w:val="20"/>
              </w:rPr>
              <w:t xml:space="preserve">The General Infrastructure table in Step 6 has been restyled to match the K1-Video VXG table format: five columns (Service / Server, Instances, vCPU, RAM GB, HDD GB) with a bold total row. The previous format had seven columns and was harder to read.</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b/>
                <w:bCs/>
                <w:color w:val="1A3A5C"/>
                <w:sz w:val="20"/>
                <w:szCs w:val="20"/>
              </w:rPr>
              <w:t xml:space="preserve">Admin UI Cleanup</w:t>
            </w:r>
          </w:p>
        </w:tc>
        <w:tc>
          <w:tcPr>
            <w:tcW w:type="dxa" w:w="6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64748B"/>
                <w:sz w:val="20"/>
                <w:szCs w:val="20"/>
              </w:rPr>
              <w:t xml:space="preserve">Common input focus/blur handlers in the Admin page extracted into shared constants, reducing duplicate code. The Add User modal uses the same consistent styling.</w:t>
            </w:r>
          </w:p>
        </w:tc>
      </w:tr>
    </w:tbl>
    <w:p>
      <w:pPr>
        <w:spacing w:after="200"/>
      </w:pPr>
    </w:p>
    <w:p>
      <w:pPr>
        <w:pStyle w:val="Heading1"/>
      </w:pPr>
      <w:r>
        <w:t xml:space="preserve">Bug Fixes</w:t>
      </w:r>
    </w:p>
    <w:p>
      <w:pPr>
        <w:pBdr>
          <w:bottom w:val="single" w:color="29ABE2" w:sz="8" w:space="1"/>
        </w:pBdr>
        <w:spacing w:after="0"/>
      </w:pPr>
    </w:p>
    <w:p>
      <w:pPr>
        <w:spacing w:after="80"/>
      </w:pPr>
    </w:p>
    <w:p>
      <w:pPr>
        <w:spacing w:after="80" w:before="40"/>
        <w:jc w:val="left"/>
      </w:pPr>
      <w:r>
        <w:rPr>
          <w:color w:val="1E293B"/>
          <w:sz w:val="20"/>
          <w:szCs w:val="20"/>
        </w:rPr>
        <w:t xml:space="preserve">The following issues reported during v1.7.0 testing have been resolved: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930"/>
        <w:gridCol w:w="3930"/>
      </w:tblGrid>
      <w:tr>
        <w:tc>
          <w:tcPr>
            <w:tcW w:type="dxa" w:w="500"/>
            <w:tcBorders>
              <w:top w:val="single" w:color="D1D5DB" w:sz="1"/>
              <w:left w:val="single" w:color="D1D5DB" w:sz="1"/>
              <w:bottom w:val="single" w:color="D1D5DB" w:sz="1"/>
              <w:right w:val="single" w:color="D1D5DB" w:sz="1"/>
            </w:tcBorders>
            <w:shd w:fill="1A3A5C" w:val="clear"/>
            <w:tcMar>
              <w:top w:type="dxa" w:w="80"/>
              <w:left w:type="dxa" w:w="100"/>
              <w:bottom w:type="dxa" w:w="80"/>
              <w:right w:type="dxa" w:w="100"/>
            </w:tcMar>
          </w:tcPr>
          <w:p>
            <w:pPr>
              <w:spacing w:after="0" w:before="0"/>
              <w:jc w:val="center"/>
            </w:pPr>
            <w:r>
              <w:rPr>
                <w:b/>
                <w:bCs/>
                <w:color w:val="FFFFFF"/>
                <w:sz w:val="18"/>
                <w:szCs w:val="18"/>
              </w:rPr>
              <w:t xml:space="preserve">#</w:t>
            </w:r>
          </w:p>
        </w:tc>
        <w:tc>
          <w:tcPr>
            <w:tcW w:type="dxa" w:w="20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pPr>
              <w:spacing w:after="0" w:before="0"/>
            </w:pPr>
            <w:r>
              <w:rPr>
                <w:b/>
                <w:bCs/>
                <w:color w:val="FFFFFF"/>
                <w:sz w:val="18"/>
                <w:szCs w:val="18"/>
              </w:rPr>
              <w:t xml:space="preserve">Area</w:t>
            </w:r>
          </w:p>
        </w:tc>
        <w:tc>
          <w:tcPr>
            <w:tcW w:type="dxa" w:w="293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pPr>
              <w:spacing w:after="0" w:before="0"/>
            </w:pPr>
            <w:r>
              <w:rPr>
                <w:b/>
                <w:bCs/>
                <w:color w:val="FFFFFF"/>
                <w:sz w:val="18"/>
                <w:szCs w:val="18"/>
              </w:rPr>
              <w:t xml:space="preserve">Problem</w:t>
            </w:r>
          </w:p>
        </w:tc>
        <w:tc>
          <w:tcPr>
            <w:tcW w:type="dxa" w:w="393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pPr>
              <w:spacing w:after="0" w:before="0"/>
            </w:pPr>
            <w:r>
              <w:rPr>
                <w:b/>
                <w:bCs/>
                <w:color w:val="FFFFFF"/>
                <w:sz w:val="18"/>
                <w:szCs w:val="18"/>
              </w:rPr>
              <w:t xml:space="preserve">Fix</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pPr>
              <w:spacing w:after="0" w:before="0"/>
              <w:jc w:val="center"/>
            </w:pPr>
            <w:r>
              <w:rPr>
                <w:b/>
                <w:bCs/>
                <w:color w:val="1E6BA8"/>
                <w:sz w:val="18"/>
                <w:szCs w:val="18"/>
              </w:rPr>
              <w:t xml:space="preserve">1</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b/>
                <w:bCs/>
                <w:color w:val="1A3A5C"/>
                <w:sz w:val="18"/>
                <w:szCs w:val="18"/>
              </w:rPr>
              <w:t xml:space="preserve">Admin Panel</w:t>
            </w:r>
          </w:p>
        </w:tc>
        <w:tc>
          <w:tcPr>
            <w:tcW w:type="dxa" w:w="293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color w:val="64748B"/>
                <w:sz w:val="18"/>
                <w:szCs w:val="18"/>
              </w:rPr>
              <w:t xml:space="preserve">The Admin page was inaccessible — there was no link or navigation to reach it.</w:t>
            </w:r>
          </w:p>
        </w:tc>
        <w:tc>
          <w:tcPr>
            <w:tcW w:type="dxa" w:w="393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color w:val="1E293B"/>
                <w:sz w:val="18"/>
                <w:szCs w:val="18"/>
              </w:rPr>
              <w:t xml:space="preserve">Added a conditional '⚙️ Admin' button to the top navigation bar, visible only to users with the Admin role.</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spacing w:after="0" w:before="0"/>
              <w:jc w:val="center"/>
            </w:pPr>
            <w:r>
              <w:rPr>
                <w:b/>
                <w:bCs/>
                <w:color w:val="1E6BA8"/>
                <w:sz w:val="18"/>
                <w:szCs w:val="18"/>
              </w:rPr>
              <w:t xml:space="preserve">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b/>
                <w:bCs/>
                <w:color w:val="1A3A5C"/>
                <w:sz w:val="18"/>
                <w:szCs w:val="18"/>
              </w:rPr>
              <w:t xml:space="preserve">Vendor Dropdown</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64748B"/>
                <w:sz w:val="18"/>
                <w:szCs w:val="18"/>
              </w:rPr>
              <w:t xml:space="preserve">Selecting a vendor from the dropdown always showed the first vendor name in the list due to a React stale state bug.</w:t>
            </w:r>
          </w:p>
        </w:tc>
        <w:tc>
          <w:tcPr>
            <w:tcW w:type="dxa" w:w="3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1E293B"/>
                <w:sz w:val="18"/>
                <w:szCs w:val="18"/>
              </w:rPr>
              <w:t xml:space="preserve">Fixed by combining the vendorName and isOther field updates into a single atomic state update, eliminating the stale closure.</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pPr>
              <w:spacing w:after="0" w:before="0"/>
              <w:jc w:val="center"/>
            </w:pPr>
            <w:r>
              <w:rPr>
                <w:b/>
                <w:bCs/>
                <w:color w:val="1E6BA8"/>
                <w:sz w:val="18"/>
                <w:szCs w:val="18"/>
              </w:rPr>
              <w:t xml:space="preserve">3</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b/>
                <w:bCs/>
                <w:color w:val="1A3A5C"/>
                <w:sz w:val="18"/>
                <w:szCs w:val="18"/>
              </w:rPr>
              <w:t xml:space="preserve">K1-Video Toggle</w:t>
            </w:r>
          </w:p>
        </w:tc>
        <w:tc>
          <w:tcPr>
            <w:tcW w:type="dxa" w:w="293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color w:val="64748B"/>
                <w:sz w:val="18"/>
                <w:szCs w:val="18"/>
              </w:rPr>
              <w:t xml:space="preserve">The K1-Video enable toggle overlapped the label text next to it due to an invalid Tailwind CSS class (ml-13).</w:t>
            </w:r>
          </w:p>
        </w:tc>
        <w:tc>
          <w:tcPr>
            <w:tcW w:type="dxa" w:w="393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color w:val="1E293B"/>
                <w:sz w:val="18"/>
                <w:szCs w:val="18"/>
              </w:rPr>
              <w:t xml:space="preserve">Replaced the invalid class with valid spacing and border classes (mt-3 ml-0 pt-2 border-t).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spacing w:after="0" w:before="0"/>
              <w:jc w:val="center"/>
            </w:pPr>
            <w:r>
              <w:rPr>
                <w:b/>
                <w:bCs/>
                <w:color w:val="1E6BA8"/>
                <w:sz w:val="18"/>
                <w:szCs w:val="18"/>
              </w:rPr>
              <w:t xml:space="preserve">4</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b/>
                <w:bCs/>
                <w:color w:val="1A3A5C"/>
                <w:sz w:val="18"/>
                <w:szCs w:val="18"/>
              </w:rPr>
              <w:t xml:space="preserve">Unit Price Input</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64748B"/>
                <w:sz w:val="18"/>
                <w:szCs w:val="18"/>
              </w:rPr>
              <w:t xml:space="preserve">Typing a new unit price in Perpetual mode would produce wrong values because the controlled number input converted back-and-forth on every keystroke.</w:t>
            </w:r>
          </w:p>
        </w:tc>
        <w:tc>
          <w:tcPr>
            <w:tcW w:type="dxa" w:w="3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1E293B"/>
                <w:sz w:val="18"/>
                <w:szCs w:val="18"/>
              </w:rPr>
              <w:t xml:space="preserve">Changed to a text input with local string state; the annual equivalent is only computed from the typed value on blur, preventing mid-type interference.</w:t>
            </w:r>
          </w:p>
        </w:tc>
      </w:tr>
      <w:tr>
        <w:tc>
          <w:tcPr>
            <w:tcW w:type="dxa" w:w="5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100"/>
            </w:tcMar>
          </w:tcPr>
          <w:p>
            <w:pPr>
              <w:spacing w:after="0" w:before="0"/>
              <w:jc w:val="center"/>
            </w:pPr>
            <w:r>
              <w:rPr>
                <w:b/>
                <w:bCs/>
                <w:color w:val="1E6BA8"/>
                <w:sz w:val="18"/>
                <w:szCs w:val="18"/>
              </w:rPr>
              <w:t xml:space="preserve">5</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b/>
                <w:bCs/>
                <w:color w:val="1A3A5C"/>
                <w:sz w:val="18"/>
                <w:szCs w:val="18"/>
              </w:rPr>
              <w:t xml:space="preserve">VXG HW Table</w:t>
            </w:r>
          </w:p>
        </w:tc>
        <w:tc>
          <w:tcPr>
            <w:tcW w:type="dxa" w:w="293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color w:val="64748B"/>
                <w:sz w:val="18"/>
                <w:szCs w:val="18"/>
              </w:rPr>
              <w:t xml:space="preserve">The K1-Video VXG hardware sizing table did not appear on the proposal summary (Step 6) even when K1-Video was enabled with cameras configured.</w:t>
            </w:r>
          </w:p>
        </w:tc>
        <w:tc>
          <w:tcPr>
            <w:tcW w:type="dxa" w:w="393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before="0"/>
            </w:pPr>
            <w:r>
              <w:rPr>
                <w:color w:val="1E293B"/>
                <w:sz w:val="18"/>
                <w:szCs w:val="18"/>
              </w:rPr>
              <w:t xml:space="preserve">Added the missing render condition and the K1VideoHWTable component call to both Step 4 (Pricing) and Step 6 (Preview).</w:t>
            </w:r>
          </w:p>
        </w:tc>
      </w:tr>
    </w:tbl>
    <w:p>
      <w:pPr>
        <w:spacing w:after="200"/>
      </w:pPr>
    </w:p>
    <w:p>
      <w:pPr>
        <w:pStyle w:val="Heading1"/>
      </w:pPr>
      <w:r>
        <w:t xml:space="preserve">Security</w:t>
      </w:r>
    </w:p>
    <w:p>
      <w:pPr>
        <w:pBdr>
          <w:bottom w:val="single" w:color="29ABE2" w:sz="8" w:space="1"/>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spacing w:after="0" w:before="0"/>
            </w:pPr>
            <w:r>
              <w:rPr>
                <w:b/>
                <w:bCs/>
                <w:color w:val="1A3A5C"/>
                <w:sz w:val="20"/>
                <w:szCs w:val="20"/>
              </w:rPr>
              <w:t xml:space="preserve">Default Credentials Removed</w:t>
            </w:r>
          </w:p>
        </w:tc>
        <w:tc>
          <w:tcPr>
            <w:tcW w:type="dxa" w:w="64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spacing w:after="0" w:before="0"/>
            </w:pPr>
            <w:r>
              <w:rPr>
                <w:color w:val="64748B"/>
                <w:sz w:val="20"/>
                <w:szCs w:val="20"/>
              </w:rPr>
              <w:t xml:space="preserve">The login page previously displayed a hardcoded 'Default Credentials' box showing the admin email and password. This box has been removed. Users must contact their administrator to obtain login credentials.</w:t>
            </w:r>
          </w:p>
        </w:tc>
      </w:tr>
    </w:tbl>
    <w:p>
      <w:pPr>
        <w:spacing w:after="200"/>
      </w:pPr>
    </w:p>
    <w:p>
      <w:pPr>
        <w:pStyle w:val="Heading1"/>
      </w:pPr>
      <w:r>
        <w:t xml:space="preserve">Compatibility &amp; Deployment</w:t>
      </w:r>
    </w:p>
    <w:p>
      <w:pPr>
        <w:pBdr>
          <w:bottom w:val="single" w:color="29ABE2" w:sz="8" w:space="1"/>
        </w:pBdr>
        <w:spacing w:after="0"/>
      </w:pPr>
    </w:p>
    <w:p>
      <w:pPr>
        <w:spacing w:after="80"/>
      </w:pPr>
    </w:p>
    <w:p>
      <w:pPr>
        <w:spacing w:after="80" w:before="40"/>
        <w:jc w:val="left"/>
      </w:pPr>
      <w:r>
        <w:rPr>
          <w:color w:val="1E293B"/>
          <w:sz w:val="20"/>
          <w:szCs w:val="20"/>
        </w:rPr>
        <w:t xml:space="preserve">This release is a drop-in upgrade. No database migrations or configuration changes are required.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b/>
                <w:bCs/>
                <w:color w:val="1A3A5C"/>
                <w:sz w:val="20"/>
                <w:szCs w:val="20"/>
              </w:rPr>
              <w:t xml:space="preserve">Database</w:t>
            </w:r>
          </w:p>
        </w:tc>
        <w:tc>
          <w:tcPr>
            <w:tcW w:type="dxa" w:w="64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color w:val="64748B"/>
                <w:sz w:val="20"/>
                <w:szCs w:val="20"/>
              </w:rPr>
              <w:t xml:space="preserve">No schema changes. All existing proposals, users, and sessions remain intact.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b/>
                <w:bCs/>
                <w:color w:val="1A3A5C"/>
                <w:sz w:val="20"/>
                <w:szCs w:val="20"/>
              </w:rPr>
              <w:t xml:space="preserve">Environment Variables</w:t>
            </w:r>
          </w:p>
        </w:tc>
        <w:tc>
          <w:tcPr>
            <w:tcW w:type="dxa" w:w="6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64748B"/>
                <w:sz w:val="20"/>
                <w:szCs w:val="20"/>
              </w:rPr>
              <w:t xml:space="preserve">No new environment variables. Existing .env configuration continues to work unchanged.</w:t>
            </w:r>
          </w:p>
        </w:tc>
      </w:tr>
      <w:tr>
        <w:tc>
          <w:tcPr>
            <w:tcW w:type="dxa" w:w="5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b/>
                <w:bCs/>
                <w:color w:val="1A3A5C"/>
                <w:sz w:val="20"/>
                <w:szCs w:val="20"/>
              </w:rPr>
              <w:t xml:space="preserve">Browser Support</w:t>
            </w:r>
          </w:p>
        </w:tc>
        <w:tc>
          <w:tcPr>
            <w:tcW w:type="dxa" w:w="6460"/>
            <w:tcBorders>
              <w:top w:val="single" w:color="D1D5DB" w:sz="1"/>
              <w:left w:val="single" w:color="D1D5DB" w:sz="1"/>
              <w:bottom w:val="single" w:color="D1D5DB" w:sz="1"/>
              <w:right w:val="single" w:color="D1D5DB" w:sz="1"/>
            </w:tcBorders>
            <w:shd w:fill="EBF4FB" w:val="clear"/>
            <w:tcMar>
              <w:top w:type="dxa" w:w="80"/>
              <w:left w:type="dxa" w:w="120"/>
              <w:bottom w:type="dxa" w:w="80"/>
              <w:right w:type="dxa" w:w="120"/>
            </w:tcMar>
          </w:tcPr>
          <w:p>
            <w:pPr>
              <w:spacing w:after="0" w:before="0"/>
            </w:pPr>
            <w:r>
              <w:rPr>
                <w:color w:val="64748B"/>
                <w:sz w:val="20"/>
                <w:szCs w:val="20"/>
              </w:rPr>
              <w:t xml:space="preserve">Tested in Chrome, Edge, and Firefox. No new browser API requirements.</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b/>
                <w:bCs/>
                <w:color w:val="1A3A5C"/>
                <w:sz w:val="20"/>
                <w:szCs w:val="20"/>
              </w:rPr>
              <w:t xml:space="preserve">API Compatibility</w:t>
            </w:r>
          </w:p>
        </w:tc>
        <w:tc>
          <w:tcPr>
            <w:tcW w:type="dxa" w:w="6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color w:val="64748B"/>
                <w:sz w:val="20"/>
                <w:szCs w:val="20"/>
              </w:rPr>
              <w:t xml:space="preserve">All existing API endpoints are backward compatible. One new endpoint added: PATCH /api/admin/users/:id.</w:t>
            </w:r>
          </w:p>
        </w:tc>
      </w:tr>
    </w:tbl>
    <w:p>
      <w:pPr>
        <w:spacing w:after="200"/>
      </w:pPr>
    </w:p>
    <w:p>
      <w:pPr>
        <w:pStyle w:val="Heading1"/>
      </w:pPr>
      <w:r>
        <w:t xml:space="preserve">Known Limitations</w:t>
      </w:r>
    </w:p>
    <w:p>
      <w:pPr>
        <w:pBdr>
          <w:bottom w:val="single" w:color="29ABE2" w:sz="8" w:space="1"/>
        </w:pBdr>
        <w:spacing w:after="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b/>
                <w:bCs/>
                <w:color w:val="1A3A5C"/>
                <w:sz w:val="20"/>
                <w:szCs w:val="20"/>
              </w:rPr>
              <w:t xml:space="preserve">Core Capabilities Scope</w:t>
            </w:r>
          </w:p>
        </w:tc>
        <w:tc>
          <w:tcPr>
            <w:tcW w:type="dxa" w:w="64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color w:val="64748B"/>
                <w:sz w:val="20"/>
                <w:szCs w:val="20"/>
              </w:rPr>
              <w:t xml:space="preserve">The 11 Core Capabilities shown in the proposal preview are the same for all product lines (K-Safety, K-Video, K-Dispatch). In a future release these may be tailored per product line.</w:t>
            </w:r>
          </w:p>
        </w:tc>
      </w:tr>
      <w:tr>
        <w:tc>
          <w:tcPr>
            <w:tcW w:type="dxa" w:w="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60"/>
            </w:tcMar>
          </w:tcPr>
          <w:p>
            <w:pPr>
              <w:spacing w:after="0" w:before="0"/>
              <w:jc w:val="center"/>
            </w:pPr>
            <w:r>
              <w:rPr>
                <w:sz w:val="22"/>
                <w:szCs w:val="22"/>
              </w:rPr>
              <w:t xml:space="preserve">⚠️</w:t>
            </w:r>
          </w:p>
        </w:tc>
        <w:tc>
          <w:tcPr>
            <w:tcW w:type="dxa" w:w="2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b/>
                <w:bCs/>
                <w:color w:val="1A3A5C"/>
                <w:sz w:val="20"/>
                <w:szCs w:val="20"/>
              </w:rPr>
              <w:t xml:space="preserve">VM Row Sync on History Load</w:t>
            </w:r>
          </w:p>
        </w:tc>
        <w:tc>
          <w:tcPr>
            <w:tcW w:type="dxa" w:w="64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spacing w:after="0" w:before="0"/>
            </w:pPr>
            <w:r>
              <w:rPr>
                <w:color w:val="64748B"/>
                <w:sz w:val="20"/>
                <w:szCs w:val="20"/>
              </w:rPr>
              <w:t xml:space="preserve">When re-opening a saved proposal from the History page, the VM rows in Step 5 are re-calculated from the saved form data. Any manual edits made to VM rows in the previous session are not persisted and will be recalculated.</w:t>
            </w:r>
          </w:p>
        </w:tc>
      </w:tr>
    </w:tbl>
    <w:p>
      <w:pPr>
        <w:spacing w:after="200"/>
      </w:pPr>
    </w:p>
    <w:p>
      <w:pPr>
        <w:pBdr>
          <w:bottom w:val="single" w:color="F0A500" w:sz="8" w:space="1"/>
        </w:pBdr>
        <w:spacing w:after="0"/>
      </w:pPr>
    </w:p>
    <w:p>
      <w:pPr>
        <w:spacing w:after="80"/>
      </w:pPr>
    </w:p>
    <w:p>
      <w:pPr>
        <w:spacing w:after="80" w:before="40"/>
        <w:jc w:val="center"/>
      </w:pPr>
      <w:r>
        <w:rPr>
          <w:color w:val="64748B"/>
          <w:sz w:val="20"/>
          <w:szCs w:val="20"/>
        </w:rPr>
        <w:t xml:space="preserve">For support or to report issues, contact the Kabatone R&amp;D team at contact@kabatone.com.</w:t>
      </w:r>
    </w:p>
    <w:p>
      <w:pPr>
        <w:spacing w:after="80" w:before="40"/>
        <w:jc w:val="center"/>
      </w:pPr>
      <w:r>
        <w:rPr>
          <w:i/>
          <w:iCs/>
          <w:color w:val="64748B"/>
          <w:sz w:val="20"/>
          <w:szCs w:val="20"/>
        </w:rPr>
        <w:t xml:space="preserve">This document is intended for internal Kabatone use only.</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A500" w:sz="4" w:space="4"/>
      </w:pBdr>
      <w:tabs>
        <w:tab w:val="right" w:pos="9026"/>
      </w:tabs>
      <w:spacing w:before="80"/>
    </w:pPr>
    <w:r>
      <w:rPr>
        <w:color w:val="64748B"/>
        <w:sz w:val="16"/>
        <w:szCs w:val="16"/>
      </w:rPr>
      <w:t xml:space="preserve">Kabatone Ltd.  |  contact@kabatone.com  |  Confidential</w:t>
    </w:r>
    <w:r>
      <w:t xml:space="preserve">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A500" w:sz="6" w:space="4"/>
      </w:pBdr>
      <w:tabs>
        <w:tab w:val="right" w:pos="9026"/>
      </w:tabs>
      <w:spacing w:after="80"/>
    </w:pPr>
    <w:r>
      <w:rPr>
        <w:b/>
        <w:bCs/>
        <w:color w:val="1A3A5C"/>
        <w:sz w:val="18"/>
        <w:szCs w:val="18"/>
      </w:rPr>
      <w:t xml:space="preserve">KABATONE  |  K-Safety Proposal Generator</w:t>
    </w:r>
    <w:r>
      <w:t xml:space="preserve">	</w:t>
    </w:r>
    <w:r>
      <w:rPr>
        <w:color w:val="64748B"/>
        <w:sz w:val="18"/>
        <w:szCs w:val="18"/>
      </w:rPr>
      <w:t xml:space="preserve">Release Notes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1E6B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2026-04-16T13:50:37.496Z</dcterms:created>
  <dcterms:modified xsi:type="dcterms:W3CDTF">2026-04-16T13:50:37.496Z</dcterms:modified>
</cp:coreProperties>
</file>

<file path=docProps/custom.xml><?xml version="1.0" encoding="utf-8"?>
<Properties xmlns="http://schemas.openxmlformats.org/officeDocument/2006/custom-properties" xmlns:vt="http://schemas.openxmlformats.org/officeDocument/2006/docPropsVTypes"/>
</file>