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Điều kiện Payroll</w:t>
      </w:r>
    </w:p>
    <w:p>
      <w:r>
        <w:t>Doanh nghiệp có tối thiểu 10 nhân sự.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Trường</w:t>
            </w:r>
          </w:p>
        </w:tc>
        <w:tc>
          <w:tcPr>
            <w:tcW w:type="dxa" w:w="4320"/>
          </w:tcPr>
          <w:p>
            <w:r>
              <w:t>Giá trị</w:t>
            </w:r>
          </w:p>
        </w:tc>
      </w:tr>
      <w:tr>
        <w:tc>
          <w:tcPr>
            <w:tcW w:type="dxa" w:w="4320"/>
          </w:tcPr>
          <w:p>
            <w:r>
              <w:t>Nhân sự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