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Highlights</w:t>
      </w:r>
    </w:p>
    <w:p>
      <w:pPr>
        <w:pStyle w:val="ListBullet"/>
      </w:pPr>
      <w:r>
        <w:t>Patient-grouped 5-fold cross-validation prevents 8.79% slice leakage inflation.</w:t>
      </w:r>
    </w:p>
    <w:p>
      <w:pPr>
        <w:pStyle w:val="ListBullet"/>
      </w:pPr>
      <w:r>
        <w:t>Inner-fold temperature scaling cuts calibration error by 46.9% without bias.</w:t>
      </w:r>
    </w:p>
    <w:p>
      <w:pPr>
        <w:pStyle w:val="ListBullet"/>
      </w:pPr>
      <w:r>
        <w:t>Anisotropic 3D hysteresis achieves 74.92% tumor Dice and cuts false alarms 42.4%.</w:t>
      </w:r>
    </w:p>
    <w:p>
      <w:pPr>
        <w:pStyle w:val="ListBullet"/>
      </w:pPr>
      <w:r>
        <w:t>Volumetric predictions yield excellent clinical agreement with ICC of 0.8894.</w:t>
      </w:r>
    </w:p>
    <w:p>
      <w:pPr>
        <w:pStyle w:val="ListBullet"/>
      </w:pPr>
      <w:r>
        <w:t>Segmented volumes preserve significant separation of molecular clusters (p=0.027).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