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03DB88">
      <w:pPr>
        <w:pStyle w:val="2"/>
        <w:spacing w:after="80"/>
      </w:pPr>
      <w:r>
        <w:t>Cohort Generation Platform: Approach &amp; Recommendation</w:t>
      </w:r>
    </w:p>
    <w:p w14:paraId="537FAC36">
      <w:pPr>
        <w:pBdr>
          <w:bottom w:val="single" w:color="CBD0C6" w:sz="6" w:space="1"/>
        </w:pBdr>
        <w:spacing w:before="80" w:after="80"/>
      </w:pPr>
    </w:p>
    <w:p w14:paraId="1B3326A9">
      <w:pPr>
        <w:pStyle w:val="3"/>
      </w:pPr>
      <w:r>
        <w:t>Overview</w:t>
      </w:r>
    </w:p>
    <w:p w14:paraId="4F3629B8">
      <w:pPr>
        <w:spacing w:after="160"/>
      </w:pPr>
      <w:r>
        <w:rPr>
          <w:b/>
          <w:sz w:val="21"/>
        </w:rPr>
        <w:t>The plan in one breath:</w:t>
      </w:r>
      <w:r>
        <w:rPr>
          <w:sz w:val="21"/>
        </w:rPr>
        <w:t xml:space="preserve"> We pull patient records from a hospital’s system in a standard format (FHIR), keep a permanent untouched copy the moment we receive it, translate every hospital’s medical terms into one shared vocabulary, load everything into a standard research database (OMOP), and then turn a clinical trial’s written eligibility rules into a precise, explainable patient list — with an AI drafting the rules from the protocol, but never touching the database directly.</w:t>
      </w:r>
    </w:p>
    <w:p w14:paraId="5A44F975">
      <w:pPr>
        <w:spacing w:after="160"/>
      </w:pPr>
      <w:r>
        <w:rPr>
          <w:sz w:val="21"/>
        </w:rPr>
        <w:t>Everything runs on free, local tools for now. Nothing about that choice is throwaway — each tool has a direct upgrade path to paid cloud services later, one piece at a time, only when actually needed.</w:t>
      </w:r>
    </w:p>
    <w:p w14:paraId="07720251">
      <w:pPr>
        <w:pBdr>
          <w:bottom w:val="single" w:color="CBD0C6" w:sz="6" w:space="1"/>
        </w:pBdr>
        <w:spacing w:before="80" w:after="80"/>
      </w:pPr>
    </w:p>
    <w:p w14:paraId="24B58C68">
      <w:pPr>
        <w:pStyle w:val="3"/>
      </w:pPr>
      <w:r>
        <w:t>The problem, briefly</w:t>
      </w:r>
    </w:p>
    <w:p w14:paraId="43337781">
      <w:pPr>
        <w:spacing w:after="160"/>
      </w:pPr>
      <w:r>
        <w:rPr>
          <w:sz w:val="21"/>
        </w:rPr>
        <w:t>Every hospital describes the same patient differently, transformations will need fixing after the fact, and a clinical trial’s patient list has to be explainable months later. The whole pipeline exists to solve exactly those three problems — nothing more.</w:t>
      </w:r>
    </w:p>
    <w:p w14:paraId="40443826">
      <w:pPr>
        <w:spacing w:after="160"/>
      </w:pPr>
      <w:r>
        <w:rPr>
          <w:b/>
          <w:sz w:val="21"/>
        </w:rPr>
        <w:t>Worked example carried through this whole document:</w:t>
      </w:r>
      <w:r>
        <w:rPr>
          <w:sz w:val="21"/>
        </w:rPr>
        <w:t xml:space="preserve"> a 55-year-old with Type 2 diabetes, an HbA1c of 8.2%, taking Metformin.</w:t>
      </w:r>
    </w:p>
    <w:p w14:paraId="614A5BBE">
      <w:pPr>
        <w:pBdr>
          <w:bottom w:val="single" w:color="CBD0C6" w:sz="6" w:space="1"/>
        </w:pBdr>
        <w:spacing w:before="80" w:after="80"/>
      </w:pPr>
    </w:p>
    <w:p w14:paraId="07A439C7">
      <w:pPr>
        <w:pStyle w:val="3"/>
      </w:pPr>
      <w:r>
        <w:t>Architecture diagram</w:t>
      </w:r>
    </w:p>
    <w:p w14:paraId="24D9BF97">
      <w:pPr>
        <w:spacing w:after="160"/>
      </w:pPr>
      <w:r>
        <w:rPr>
          <w:sz w:val="21"/>
        </w:rPr>
        <w:t>What we’d actually run on day one — free and local, with a direct upgrade path to managed cloud services already built in.</w:t>
      </w:r>
    </w:p>
    <w:p w14:paraId="3556187F">
      <w:pPr>
        <w:spacing w:after="200"/>
      </w:pPr>
      <w:r>
        <w:rPr>
          <w:rFonts w:ascii="Consolas" w:hAnsi="Consolas"/>
          <w:color w:val="A8672E"/>
          <w:sz w:val="20"/>
        </w:rPr>
        <w:t>Hospital FHIR API</w:t>
      </w:r>
      <w:r>
        <w:rPr>
          <w:color w:val="4B5650"/>
          <w:sz w:val="20"/>
        </w:rPr>
        <w:t xml:space="preserve">   →   </w:t>
      </w:r>
      <w:r>
        <w:rPr>
          <w:rFonts w:ascii="Consolas" w:hAnsi="Consolas"/>
          <w:color w:val="1B211E"/>
          <w:sz w:val="20"/>
        </w:rPr>
        <w:t>Python pull script</w:t>
      </w:r>
      <w:r>
        <w:rPr>
          <w:rFonts w:ascii="Consolas" w:hAnsi="Consolas"/>
          <w:color w:val="1B211E"/>
          <w:sz w:val="20"/>
        </w:rPr>
        <w:br w:type="textWrapping"/>
      </w:r>
      <w:r>
        <w:rPr>
          <w:rFonts w:ascii="Consolas" w:hAnsi="Consolas"/>
          <w:color w:val="1B211E"/>
          <w:sz w:val="20"/>
        </w:rPr>
        <w:t>(Task Scheduler)</w:t>
      </w:r>
      <w:r>
        <w:rPr>
          <w:color w:val="4B5650"/>
          <w:sz w:val="20"/>
        </w:rPr>
        <w:t xml:space="preserve">   →   </w:t>
      </w:r>
      <w:r>
        <w:rPr>
          <w:rFonts w:ascii="Consolas" w:hAnsi="Consolas"/>
          <w:color w:val="A8672E"/>
          <w:sz w:val="20"/>
        </w:rPr>
        <w:t>Iceberg raw tables</w:t>
      </w:r>
      <w:r>
        <w:rPr>
          <w:rFonts w:ascii="Consolas" w:hAnsi="Consolas"/>
          <w:color w:val="A8672E"/>
          <w:sz w:val="20"/>
        </w:rPr>
        <w:br w:type="textWrapping"/>
      </w:r>
      <w:r>
        <w:rPr>
          <w:rFonts w:ascii="Consolas" w:hAnsi="Consolas"/>
          <w:color w:val="A8672E"/>
          <w:sz w:val="20"/>
        </w:rPr>
        <w:t>(PyIceberg, local disk)</w:t>
      </w:r>
      <w:r>
        <w:rPr>
          <w:color w:val="4B5650"/>
          <w:sz w:val="20"/>
        </w:rPr>
        <w:t xml:space="preserve">   →   </w:t>
      </w:r>
      <w:r>
        <w:rPr>
          <w:rFonts w:ascii="Consolas" w:hAnsi="Consolas"/>
          <w:color w:val="1B211E"/>
          <w:sz w:val="20"/>
        </w:rPr>
        <w:t>Python loader</w:t>
      </w:r>
      <w:r>
        <w:rPr>
          <w:color w:val="4B5650"/>
          <w:sz w:val="20"/>
        </w:rPr>
        <w:t xml:space="preserve">   →   </w:t>
      </w:r>
      <w:r>
        <w:rPr>
          <w:rFonts w:ascii="Consolas" w:hAnsi="Consolas"/>
          <w:color w:val="A8672E"/>
          <w:sz w:val="20"/>
        </w:rPr>
        <w:t>Postgres (Docker):</w:t>
      </w:r>
      <w:r>
        <w:rPr>
          <w:rFonts w:ascii="Consolas" w:hAnsi="Consolas"/>
          <w:color w:val="A8672E"/>
          <w:sz w:val="20"/>
        </w:rPr>
        <w:br w:type="textWrapping"/>
      </w:r>
      <w:r>
        <w:rPr>
          <w:rFonts w:ascii="Consolas" w:hAnsi="Consolas"/>
          <w:color w:val="A8672E"/>
          <w:sz w:val="20"/>
        </w:rPr>
        <w:t>staging → OMOP → marts, via dbt</w:t>
      </w:r>
      <w:r>
        <w:rPr>
          <w:color w:val="4B5650"/>
          <w:sz w:val="20"/>
        </w:rPr>
        <w:t xml:space="preserve">   →   </w:t>
      </w:r>
      <w:r>
        <w:rPr>
          <w:rFonts w:ascii="Consolas" w:hAnsi="Consolas"/>
          <w:color w:val="1B211E"/>
          <w:sz w:val="20"/>
        </w:rPr>
        <w:t>Eligible patient list</w:t>
      </w:r>
    </w:p>
    <w:p w14:paraId="62AC4FFD">
      <w:pPr>
        <w:spacing w:after="160"/>
      </w:pPr>
      <w:r>
        <w:rPr>
          <w:i/>
          <w:color w:val="4B5650"/>
          <w:sz w:val="19"/>
        </w:rPr>
        <w:t>In parallel: an LLM drafts a cohort specification from the trial protocol → a separate Python step validates and compiles it to SQL → that SQL runs against the same Postgres warehouse.</w:t>
      </w:r>
    </w:p>
    <w:p w14:paraId="59B5AC1E">
      <w:pPr>
        <w:pStyle w:val="23"/>
        <w:spacing w:after="120"/>
      </w:pPr>
      <w:r>
        <w:rPr>
          <w:b/>
          <w:sz w:val="21"/>
        </w:rPr>
        <w:t>Iceberg (via PyIceberg, no Spark needed)</w:t>
      </w:r>
      <w:r>
        <w:rPr>
          <w:sz w:val="21"/>
        </w:rPr>
        <w:t xml:space="preserve"> keeps a permanent, versioned copy of every record exactly as received.</w:t>
      </w:r>
    </w:p>
    <w:p w14:paraId="7096E3B8">
      <w:pPr>
        <w:pStyle w:val="23"/>
        <w:spacing w:after="120"/>
      </w:pPr>
      <w:r>
        <w:rPr>
          <w:b/>
          <w:sz w:val="21"/>
        </w:rPr>
        <w:t>Postgres</w:t>
      </w:r>
      <w:r>
        <w:rPr>
          <w:sz w:val="21"/>
        </w:rPr>
        <w:t xml:space="preserve"> holds the standardized OMOP warehouse — the same database OHDSI’s own research tools expect.</w:t>
      </w:r>
    </w:p>
    <w:p w14:paraId="767CBD1C">
      <w:pPr>
        <w:pStyle w:val="23"/>
        <w:spacing w:after="120"/>
      </w:pPr>
      <w:r>
        <w:rPr>
          <w:b/>
          <w:sz w:val="21"/>
        </w:rPr>
        <w:t>dbt</w:t>
      </w:r>
      <w:r>
        <w:rPr>
          <w:sz w:val="21"/>
        </w:rPr>
        <w:t xml:space="preserve"> does every transformation and blocks bad data with automated tests before it reaches OMOP.</w:t>
      </w:r>
    </w:p>
    <w:p w14:paraId="1EBDAEB5">
      <w:pPr>
        <w:pStyle w:val="23"/>
        <w:spacing w:after="120"/>
      </w:pPr>
      <w:r>
        <w:rPr>
          <w:b/>
          <w:sz w:val="21"/>
        </w:rPr>
        <w:t>The AI only ever drafts a structured spec</w:t>
      </w:r>
      <w:r>
        <w:rPr>
          <w:sz w:val="21"/>
        </w:rPr>
        <w:t>; a separate, deterministic step compiles and runs the actual SQL.</w:t>
      </w:r>
    </w:p>
    <w:p w14:paraId="26AD241B">
      <w:pPr>
        <w:pBdr>
          <w:bottom w:val="single" w:color="CBD0C6" w:sz="6" w:space="1"/>
        </w:pBdr>
        <w:spacing w:before="80" w:after="80"/>
      </w:pPr>
    </w:p>
    <w:p w14:paraId="73F74C0A">
      <w:pPr>
        <w:pStyle w:val="3"/>
      </w:pPr>
      <w:r>
        <w:t>Concerns identified</w:t>
      </w:r>
    </w:p>
    <w:p w14:paraId="427A7931">
      <w:pPr>
        <w:spacing w:after="160"/>
      </w:pPr>
      <w:r>
        <w:rPr>
          <w:sz w:val="21"/>
        </w:rPr>
        <w:t>A critical pass over the starting design, before any tool was chosen — ranked by how much damage each would actually do.</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880"/>
        <w:gridCol w:w="2880"/>
        <w:gridCol w:w="2880"/>
      </w:tblGrid>
      <w:tr w14:paraId="5C562E3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shd w:val="clear" w:color="auto" w:fill="E7D5C0"/>
          </w:tcPr>
          <w:p w14:paraId="2A0C945E">
            <w:pPr>
              <w:spacing w:after="0" w:line="240" w:lineRule="auto"/>
            </w:pPr>
            <w:r>
              <w:rPr>
                <w:b/>
                <w:sz w:val="19"/>
              </w:rPr>
              <w:t>Concern</w:t>
            </w:r>
          </w:p>
        </w:tc>
        <w:tc>
          <w:tcPr>
            <w:tcW w:w="2880" w:type="dxa"/>
            <w:shd w:val="clear" w:color="auto" w:fill="E7D5C0"/>
          </w:tcPr>
          <w:p w14:paraId="799F1519">
            <w:pPr>
              <w:spacing w:after="0" w:line="240" w:lineRule="auto"/>
            </w:pPr>
            <w:r>
              <w:rPr>
                <w:b/>
                <w:sz w:val="19"/>
              </w:rPr>
              <w:t>Severity</w:t>
            </w:r>
          </w:p>
        </w:tc>
        <w:tc>
          <w:tcPr>
            <w:tcW w:w="2880" w:type="dxa"/>
            <w:shd w:val="clear" w:color="auto" w:fill="E7D5C0"/>
          </w:tcPr>
          <w:p w14:paraId="40510779">
            <w:pPr>
              <w:spacing w:after="0" w:line="240" w:lineRule="auto"/>
            </w:pPr>
            <w:r>
              <w:rPr>
                <w:b/>
                <w:sz w:val="19"/>
              </w:rPr>
              <w:t>How it’s addressed</w:t>
            </w:r>
          </w:p>
        </w:tc>
      </w:tr>
      <w:tr w14:paraId="085607A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7E364925">
            <w:pPr>
              <w:spacing w:after="0" w:line="240" w:lineRule="auto"/>
            </w:pPr>
            <w:r>
              <w:rPr>
                <w:sz w:val="19"/>
              </w:rPr>
              <w:t>Raw copy isn’t actually protected or traceable</w:t>
            </w:r>
          </w:p>
        </w:tc>
        <w:tc>
          <w:tcPr>
            <w:tcW w:w="2880" w:type="dxa"/>
          </w:tcPr>
          <w:p w14:paraId="6359319E">
            <w:pPr>
              <w:spacing w:after="0" w:line="240" w:lineRule="auto"/>
            </w:pPr>
            <w:r>
              <w:rPr>
                <w:b/>
                <w:color w:val="A2493C"/>
                <w:sz w:val="19"/>
              </w:rPr>
              <w:t>Critical</w:t>
            </w:r>
          </w:p>
        </w:tc>
        <w:tc>
          <w:tcPr>
            <w:tcW w:w="2880" w:type="dxa"/>
          </w:tcPr>
          <w:p w14:paraId="2A849525">
            <w:pPr>
              <w:spacing w:after="0" w:line="240" w:lineRule="auto"/>
            </w:pPr>
            <w:r>
              <w:rPr>
                <w:sz w:val="19"/>
              </w:rPr>
              <w:t>Immutable, versioned Iceberg snapshots + a metadata table linking every OMOP row back to its source.</w:t>
            </w:r>
          </w:p>
        </w:tc>
      </w:tr>
      <w:tr w14:paraId="458EF43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10BD4B60">
            <w:pPr>
              <w:spacing w:after="0" w:line="240" w:lineRule="auto"/>
            </w:pPr>
            <w:r>
              <w:rPr>
                <w:sz w:val="19"/>
              </w:rPr>
              <w:t>A patient can silently vanish from a cohort</w:t>
            </w:r>
          </w:p>
        </w:tc>
        <w:tc>
          <w:tcPr>
            <w:tcW w:w="2880" w:type="dxa"/>
          </w:tcPr>
          <w:p w14:paraId="26048F90">
            <w:pPr>
              <w:spacing w:after="0" w:line="240" w:lineRule="auto"/>
            </w:pPr>
            <w:r>
              <w:rPr>
                <w:b/>
                <w:color w:val="A2493C"/>
                <w:sz w:val="19"/>
              </w:rPr>
              <w:t>Critical</w:t>
            </w:r>
          </w:p>
        </w:tc>
        <w:tc>
          <w:tcPr>
            <w:tcW w:w="2880" w:type="dxa"/>
          </w:tcPr>
          <w:p w14:paraId="674BB1FD">
            <w:pPr>
              <w:spacing w:after="0" w:line="240" w:lineRule="auto"/>
            </w:pPr>
            <w:r>
              <w:rPr>
                <w:sz w:val="19"/>
              </w:rPr>
              <w:t>Every unmapped medical code is reported, not silently dropped.</w:t>
            </w:r>
          </w:p>
        </w:tc>
      </w:tr>
      <w:tr w14:paraId="760CD88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23D79212">
            <w:pPr>
              <w:spacing w:after="0" w:line="240" w:lineRule="auto"/>
            </w:pPr>
            <w:r>
              <w:rPr>
                <w:sz w:val="19"/>
              </w:rPr>
              <w:t>Same cohort, different answer next time</w:t>
            </w:r>
          </w:p>
        </w:tc>
        <w:tc>
          <w:tcPr>
            <w:tcW w:w="2880" w:type="dxa"/>
          </w:tcPr>
          <w:p w14:paraId="65630D82">
            <w:pPr>
              <w:spacing w:after="0" w:line="240" w:lineRule="auto"/>
            </w:pPr>
            <w:r>
              <w:rPr>
                <w:b/>
                <w:color w:val="A2493C"/>
                <w:sz w:val="19"/>
              </w:rPr>
              <w:t>Critical</w:t>
            </w:r>
          </w:p>
        </w:tc>
        <w:tc>
          <w:tcPr>
            <w:tcW w:w="2880" w:type="dxa"/>
          </w:tcPr>
          <w:p w14:paraId="2797A186">
            <w:pPr>
              <w:spacing w:after="0" w:line="240" w:lineRule="auto"/>
            </w:pPr>
            <w:r>
              <w:rPr>
                <w:sz w:val="19"/>
              </w:rPr>
              <w:t>Every result stamped with the exact code version, vocabulary version, and data snapshot used.</w:t>
            </w:r>
          </w:p>
        </w:tc>
      </w:tr>
      <w:tr w14:paraId="4A6D3F7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09D9D353">
            <w:pPr>
              <w:spacing w:after="0" w:line="240" w:lineRule="auto"/>
            </w:pPr>
            <w:r>
              <w:rPr>
                <w:sz w:val="19"/>
              </w:rPr>
              <w:t>Whole pipeline depends on one machine</w:t>
            </w:r>
          </w:p>
        </w:tc>
        <w:tc>
          <w:tcPr>
            <w:tcW w:w="2880" w:type="dxa"/>
          </w:tcPr>
          <w:p w14:paraId="2366D920">
            <w:pPr>
              <w:spacing w:after="0" w:line="240" w:lineRule="auto"/>
            </w:pPr>
            <w:r>
              <w:rPr>
                <w:b/>
                <w:color w:val="93691A"/>
                <w:sz w:val="19"/>
              </w:rPr>
              <w:t>High</w:t>
            </w:r>
          </w:p>
        </w:tc>
        <w:tc>
          <w:tcPr>
            <w:tcW w:w="2880" w:type="dxa"/>
          </w:tcPr>
          <w:p w14:paraId="16C718EF">
            <w:pPr>
              <w:spacing w:after="0" w:line="240" w:lineRule="auto"/>
            </w:pPr>
            <w:r>
              <w:rPr>
                <w:sz w:val="19"/>
              </w:rPr>
              <w:t>Each job logs its own success/failure to Postgres; alerts on failure.</w:t>
            </w:r>
          </w:p>
        </w:tc>
      </w:tr>
      <w:tr w14:paraId="172B956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4EAE385C">
            <w:pPr>
              <w:spacing w:after="0" w:line="240" w:lineRule="auto"/>
            </w:pPr>
            <w:r>
              <w:rPr>
                <w:sz w:val="19"/>
              </w:rPr>
              <w:t>Data arrives stale, on a timer</w:t>
            </w:r>
          </w:p>
        </w:tc>
        <w:tc>
          <w:tcPr>
            <w:tcW w:w="2880" w:type="dxa"/>
          </w:tcPr>
          <w:p w14:paraId="21BA1199">
            <w:pPr>
              <w:spacing w:after="0" w:line="240" w:lineRule="auto"/>
            </w:pPr>
            <w:r>
              <w:rPr>
                <w:b/>
                <w:color w:val="93691A"/>
                <w:sz w:val="19"/>
              </w:rPr>
              <w:t>High</w:t>
            </w:r>
          </w:p>
        </w:tc>
        <w:tc>
          <w:tcPr>
            <w:tcW w:w="2880" w:type="dxa"/>
          </w:tcPr>
          <w:p w14:paraId="3C333409">
            <w:pPr>
              <w:spacing w:after="0" w:line="240" w:lineRule="auto"/>
            </w:pPr>
            <w:r>
              <w:rPr>
                <w:sz w:val="19"/>
              </w:rPr>
              <w:t>Incremental FHIR sync (only pull what changed), pending confirmation the source supports it.</w:t>
            </w:r>
          </w:p>
        </w:tc>
      </w:tr>
      <w:tr w14:paraId="7DD6415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2B370CD1">
            <w:pPr>
              <w:spacing w:after="0" w:line="240" w:lineRule="auto"/>
            </w:pPr>
            <w:r>
              <w:rPr>
                <w:sz w:val="19"/>
              </w:rPr>
              <w:t>Nothing checks data quality before OMOP</w:t>
            </w:r>
          </w:p>
        </w:tc>
        <w:tc>
          <w:tcPr>
            <w:tcW w:w="2880" w:type="dxa"/>
          </w:tcPr>
          <w:p w14:paraId="1759DDB9">
            <w:pPr>
              <w:spacing w:after="0" w:line="240" w:lineRule="auto"/>
            </w:pPr>
            <w:r>
              <w:rPr>
                <w:b/>
                <w:color w:val="93691A"/>
                <w:sz w:val="19"/>
              </w:rPr>
              <w:t>High</w:t>
            </w:r>
          </w:p>
        </w:tc>
        <w:tc>
          <w:tcPr>
            <w:tcW w:w="2880" w:type="dxa"/>
          </w:tcPr>
          <w:p w14:paraId="11DA69A6">
            <w:pPr>
              <w:spacing w:after="0" w:line="240" w:lineRule="auto"/>
            </w:pPr>
            <w:r>
              <w:rPr>
                <w:sz w:val="19"/>
              </w:rPr>
              <w:t>Automated dbt tests gate every load.</w:t>
            </w:r>
          </w:p>
        </w:tc>
      </w:tr>
      <w:tr w14:paraId="63AC873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18BC75BF">
            <w:pPr>
              <w:spacing w:after="0" w:line="240" w:lineRule="auto"/>
            </w:pPr>
            <w:r>
              <w:rPr>
                <w:sz w:val="19"/>
              </w:rPr>
              <w:t>No enforced limit on what the AI can see</w:t>
            </w:r>
          </w:p>
        </w:tc>
        <w:tc>
          <w:tcPr>
            <w:tcW w:w="2880" w:type="dxa"/>
          </w:tcPr>
          <w:p w14:paraId="5062724A">
            <w:pPr>
              <w:spacing w:after="0" w:line="240" w:lineRule="auto"/>
            </w:pPr>
            <w:r>
              <w:rPr>
                <w:b/>
                <w:color w:val="93691A"/>
                <w:sz w:val="19"/>
              </w:rPr>
              <w:t>High</w:t>
            </w:r>
          </w:p>
        </w:tc>
        <w:tc>
          <w:tcPr>
            <w:tcW w:w="2880" w:type="dxa"/>
          </w:tcPr>
          <w:p w14:paraId="3E593CF4">
            <w:pPr>
              <w:spacing w:after="0" w:line="240" w:lineRule="auto"/>
            </w:pPr>
            <w:r>
              <w:rPr>
                <w:sz w:val="19"/>
              </w:rPr>
              <w:t>AI only ever receives protocol text + vocabulary lookups — never raw patient rows or database access.</w:t>
            </w:r>
          </w:p>
        </w:tc>
      </w:tr>
      <w:tr w14:paraId="4D379BB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39D11040">
            <w:pPr>
              <w:spacing w:after="0" w:line="240" w:lineRule="auto"/>
            </w:pPr>
            <w:r>
              <w:rPr>
                <w:sz w:val="19"/>
              </w:rPr>
              <w:t>One hospital’s bad data can break everyone’s pipeline</w:t>
            </w:r>
          </w:p>
        </w:tc>
        <w:tc>
          <w:tcPr>
            <w:tcW w:w="2880" w:type="dxa"/>
          </w:tcPr>
          <w:p w14:paraId="4C25DFB9">
            <w:pPr>
              <w:spacing w:after="0" w:line="240" w:lineRule="auto"/>
            </w:pPr>
            <w:r>
              <w:rPr>
                <w:b/>
                <w:color w:val="4C6B7A"/>
                <w:sz w:val="19"/>
              </w:rPr>
              <w:t>Medium</w:t>
            </w:r>
          </w:p>
        </w:tc>
        <w:tc>
          <w:tcPr>
            <w:tcW w:w="2880" w:type="dxa"/>
          </w:tcPr>
          <w:p w14:paraId="052D3771">
            <w:pPr>
              <w:spacing w:after="0" w:line="240" w:lineRule="auto"/>
            </w:pPr>
            <w:r>
              <w:rPr>
                <w:sz w:val="19"/>
              </w:rPr>
              <w:t>Each source gets its own isolated scheduled job.</w:t>
            </w:r>
          </w:p>
        </w:tc>
      </w:tr>
      <w:tr w14:paraId="59995A9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20FF2344">
            <w:pPr>
              <w:spacing w:after="0" w:line="240" w:lineRule="auto"/>
            </w:pPr>
            <w:r>
              <w:rPr>
                <w:sz w:val="19"/>
              </w:rPr>
              <w:t>No one would notice a data or cohort-size anomaly</w:t>
            </w:r>
          </w:p>
        </w:tc>
        <w:tc>
          <w:tcPr>
            <w:tcW w:w="2880" w:type="dxa"/>
          </w:tcPr>
          <w:p w14:paraId="0A966C38">
            <w:pPr>
              <w:spacing w:after="0" w:line="240" w:lineRule="auto"/>
            </w:pPr>
            <w:r>
              <w:rPr>
                <w:b/>
                <w:color w:val="4C6B7A"/>
                <w:sz w:val="19"/>
              </w:rPr>
              <w:t>Medium</w:t>
            </w:r>
          </w:p>
        </w:tc>
        <w:tc>
          <w:tcPr>
            <w:tcW w:w="2880" w:type="dxa"/>
          </w:tcPr>
          <w:p w14:paraId="48AEE4D8">
            <w:pPr>
              <w:spacing w:after="0" w:line="240" w:lineRule="auto"/>
            </w:pPr>
            <w:r>
              <w:rPr>
                <w:sz w:val="19"/>
              </w:rPr>
              <w:t>Daily row-count / cohort-size comparison check.</w:t>
            </w:r>
          </w:p>
        </w:tc>
      </w:tr>
      <w:tr w14:paraId="520E846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146B29BD">
            <w:pPr>
              <w:spacing w:after="0" w:line="240" w:lineRule="auto"/>
            </w:pPr>
            <w:r>
              <w:rPr>
                <w:sz w:val="19"/>
              </w:rPr>
              <w:t>Security assumed, not designed</w:t>
            </w:r>
          </w:p>
        </w:tc>
        <w:tc>
          <w:tcPr>
            <w:tcW w:w="2880" w:type="dxa"/>
          </w:tcPr>
          <w:p w14:paraId="7E96A94F">
            <w:pPr>
              <w:spacing w:after="0" w:line="240" w:lineRule="auto"/>
            </w:pPr>
            <w:r>
              <w:rPr>
                <w:b/>
                <w:color w:val="4C6B7A"/>
                <w:sz w:val="19"/>
              </w:rPr>
              <w:t>Medium</w:t>
            </w:r>
          </w:p>
        </w:tc>
        <w:tc>
          <w:tcPr>
            <w:tcW w:w="2880" w:type="dxa"/>
          </w:tcPr>
          <w:p w14:paraId="1D3A1B44">
            <w:pPr>
              <w:spacing w:after="0" w:line="240" w:lineRule="auto"/>
            </w:pPr>
            <w:r>
              <w:rPr>
                <w:sz w:val="19"/>
              </w:rPr>
              <w:t xml:space="preserve">Credentials in a local </w:t>
            </w:r>
            <w:r>
              <w:rPr>
                <w:rFonts w:ascii="Consolas" w:hAnsi="Consolas"/>
                <w:sz w:val="19"/>
              </w:rPr>
              <w:t>.env</w:t>
            </w:r>
            <w:r>
              <w:rPr>
                <w:sz w:val="19"/>
              </w:rPr>
              <w:t xml:space="preserve"> file now, Key Vault + managed identities once this moves to Azure.</w:t>
            </w:r>
          </w:p>
        </w:tc>
      </w:tr>
    </w:tbl>
    <w:p w14:paraId="1D3C16EE">
      <w:pPr>
        <w:spacing w:after="120"/>
      </w:pPr>
    </w:p>
    <w:p w14:paraId="24046F9A">
      <w:pPr>
        <w:pBdr>
          <w:bottom w:val="single" w:color="CBD0C6" w:sz="6" w:space="1"/>
        </w:pBdr>
        <w:spacing w:before="80" w:after="80"/>
      </w:pPr>
    </w:p>
    <w:p w14:paraId="4BE2C69E">
      <w:pPr>
        <w:pStyle w:val="3"/>
      </w:pPr>
      <w:r>
        <w:t>Proposed approach</w:t>
      </w:r>
    </w:p>
    <w:p w14:paraId="379A98BB">
      <w:pPr>
        <w:spacing w:after="160"/>
      </w:pPr>
      <w:r>
        <w:rPr>
          <w:sz w:val="21"/>
        </w:rPr>
        <w:t>The smallest set of proven, free tools that closes every concern above — nothing here requires a paid Azure subscription.</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880"/>
        <w:gridCol w:w="2880"/>
        <w:gridCol w:w="2880"/>
      </w:tblGrid>
      <w:tr w14:paraId="7920190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2880" w:type="dxa"/>
            <w:shd w:val="clear" w:color="auto" w:fill="E7D5C0"/>
          </w:tcPr>
          <w:p w14:paraId="466542AA">
            <w:pPr>
              <w:spacing w:after="0" w:line="240" w:lineRule="auto"/>
            </w:pPr>
            <w:r>
              <w:rPr>
                <w:b/>
                <w:sz w:val="19"/>
              </w:rPr>
              <w:t>Piece</w:t>
            </w:r>
          </w:p>
        </w:tc>
        <w:tc>
          <w:tcPr>
            <w:tcW w:w="2880" w:type="dxa"/>
            <w:shd w:val="clear" w:color="auto" w:fill="E7D5C0"/>
          </w:tcPr>
          <w:p w14:paraId="67CF60DF">
            <w:pPr>
              <w:spacing w:after="0" w:line="240" w:lineRule="auto"/>
            </w:pPr>
            <w:r>
              <w:rPr>
                <w:b/>
                <w:sz w:val="19"/>
              </w:rPr>
              <w:t>Pick, free &amp; local</w:t>
            </w:r>
          </w:p>
        </w:tc>
        <w:tc>
          <w:tcPr>
            <w:tcW w:w="2880" w:type="dxa"/>
            <w:shd w:val="clear" w:color="auto" w:fill="E7D5C0"/>
          </w:tcPr>
          <w:p w14:paraId="7B2B596A">
            <w:pPr>
              <w:spacing w:after="0" w:line="240" w:lineRule="auto"/>
            </w:pPr>
            <w:r>
              <w:rPr>
                <w:b/>
                <w:sz w:val="19"/>
              </w:rPr>
              <w:t>Upgrades to, later</w:t>
            </w:r>
          </w:p>
        </w:tc>
      </w:tr>
      <w:tr w14:paraId="5018F9C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19DFB38A">
            <w:pPr>
              <w:spacing w:after="0" w:line="240" w:lineRule="auto"/>
            </w:pPr>
            <w:r>
              <w:rPr>
                <w:sz w:val="19"/>
              </w:rPr>
              <w:t>Raw storage</w:t>
            </w:r>
          </w:p>
        </w:tc>
        <w:tc>
          <w:tcPr>
            <w:tcW w:w="2880" w:type="dxa"/>
          </w:tcPr>
          <w:p w14:paraId="2C643B91">
            <w:pPr>
              <w:spacing w:after="0" w:line="240" w:lineRule="auto"/>
            </w:pPr>
            <w:r>
              <w:rPr>
                <w:sz w:val="19"/>
              </w:rPr>
              <w:t>Iceberg tables on local disk (PyIceberg)</w:t>
            </w:r>
          </w:p>
        </w:tc>
        <w:tc>
          <w:tcPr>
            <w:tcW w:w="2880" w:type="dxa"/>
          </w:tcPr>
          <w:p w14:paraId="396480FC">
            <w:pPr>
              <w:spacing w:after="0" w:line="240" w:lineRule="auto"/>
            </w:pPr>
            <w:r>
              <w:rPr>
                <w:sz w:val="19"/>
              </w:rPr>
              <w:t>Same tables, pointed at Azure Data Lake</w:t>
            </w:r>
          </w:p>
        </w:tc>
      </w:tr>
      <w:tr w14:paraId="25B8764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3FD0D39C">
            <w:pPr>
              <w:spacing w:after="0" w:line="240" w:lineRule="auto"/>
            </w:pPr>
            <w:r>
              <w:rPr>
                <w:sz w:val="19"/>
              </w:rPr>
              <w:t>Warehouse</w:t>
            </w:r>
          </w:p>
        </w:tc>
        <w:tc>
          <w:tcPr>
            <w:tcW w:w="2880" w:type="dxa"/>
          </w:tcPr>
          <w:p w14:paraId="0A4C128E">
            <w:pPr>
              <w:spacing w:after="0" w:line="240" w:lineRule="auto"/>
            </w:pPr>
            <w:r>
              <w:rPr>
                <w:sz w:val="19"/>
              </w:rPr>
              <w:t>Postgres in Docker</w:t>
            </w:r>
          </w:p>
        </w:tc>
        <w:tc>
          <w:tcPr>
            <w:tcW w:w="2880" w:type="dxa"/>
          </w:tcPr>
          <w:p w14:paraId="50A68E6A">
            <w:pPr>
              <w:spacing w:after="0" w:line="240" w:lineRule="auto"/>
            </w:pPr>
            <w:r>
              <w:rPr>
                <w:sz w:val="19"/>
              </w:rPr>
              <w:t>Azure Database for PostgreSQL</w:t>
            </w:r>
          </w:p>
        </w:tc>
      </w:tr>
      <w:tr w14:paraId="4EEC027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087EC12D">
            <w:pPr>
              <w:spacing w:after="0" w:line="240" w:lineRule="auto"/>
            </w:pPr>
            <w:r>
              <w:rPr>
                <w:sz w:val="19"/>
              </w:rPr>
              <w:t>Transformation &amp; tests</w:t>
            </w:r>
          </w:p>
        </w:tc>
        <w:tc>
          <w:tcPr>
            <w:tcW w:w="2880" w:type="dxa"/>
          </w:tcPr>
          <w:p w14:paraId="3EF7FA5D">
            <w:pPr>
              <w:spacing w:after="0" w:line="240" w:lineRule="auto"/>
            </w:pPr>
            <w:r>
              <w:rPr>
                <w:sz w:val="19"/>
              </w:rPr>
              <w:t>dbt Core</w:t>
            </w:r>
          </w:p>
        </w:tc>
        <w:tc>
          <w:tcPr>
            <w:tcW w:w="2880" w:type="dxa"/>
          </w:tcPr>
          <w:p w14:paraId="20982CEA">
            <w:pPr>
              <w:spacing w:after="0" w:line="240" w:lineRule="auto"/>
            </w:pPr>
            <w:r>
              <w:rPr>
                <w:sz w:val="19"/>
              </w:rPr>
              <w:t>Unchanged</w:t>
            </w:r>
          </w:p>
        </w:tc>
      </w:tr>
      <w:tr w14:paraId="7A85669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099A1EF8">
            <w:pPr>
              <w:spacing w:after="0" w:line="240" w:lineRule="auto"/>
            </w:pPr>
            <w:r>
              <w:rPr>
                <w:sz w:val="19"/>
              </w:rPr>
              <w:t>Scheduling</w:t>
            </w:r>
          </w:p>
        </w:tc>
        <w:tc>
          <w:tcPr>
            <w:tcW w:w="2880" w:type="dxa"/>
          </w:tcPr>
          <w:p w14:paraId="4BCC983A">
            <w:pPr>
              <w:spacing w:after="0" w:line="240" w:lineRule="auto"/>
            </w:pPr>
            <w:r>
              <w:rPr>
                <w:sz w:val="19"/>
              </w:rPr>
              <w:t>Windows Task Scheduler / cron</w:t>
            </w:r>
          </w:p>
        </w:tc>
        <w:tc>
          <w:tcPr>
            <w:tcW w:w="2880" w:type="dxa"/>
          </w:tcPr>
          <w:p w14:paraId="1982A638">
            <w:pPr>
              <w:spacing w:after="0" w:line="240" w:lineRule="auto"/>
            </w:pPr>
            <w:r>
              <w:rPr>
                <w:sz w:val="19"/>
              </w:rPr>
              <w:t>Azure Data Factory</w:t>
            </w:r>
          </w:p>
        </w:tc>
      </w:tr>
      <w:tr w14:paraId="3222F96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2375CC5F">
            <w:pPr>
              <w:spacing w:after="0" w:line="240" w:lineRule="auto"/>
            </w:pPr>
            <w:r>
              <w:rPr>
                <w:sz w:val="19"/>
              </w:rPr>
              <w:t>Secrets</w:t>
            </w:r>
          </w:p>
        </w:tc>
        <w:tc>
          <w:tcPr>
            <w:tcW w:w="2880" w:type="dxa"/>
          </w:tcPr>
          <w:p w14:paraId="11DD604E">
            <w:pPr>
              <w:spacing w:after="0" w:line="240" w:lineRule="auto"/>
            </w:pPr>
            <w:r>
              <w:rPr>
                <w:sz w:val="19"/>
              </w:rPr>
              <w:t xml:space="preserve">Local </w:t>
            </w:r>
            <w:r>
              <w:rPr>
                <w:rFonts w:ascii="Consolas" w:hAnsi="Consolas"/>
                <w:sz w:val="19"/>
              </w:rPr>
              <w:t>.env</w:t>
            </w:r>
            <w:r>
              <w:rPr>
                <w:sz w:val="19"/>
              </w:rPr>
              <w:t xml:space="preserve"> file</w:t>
            </w:r>
          </w:p>
        </w:tc>
        <w:tc>
          <w:tcPr>
            <w:tcW w:w="2880" w:type="dxa"/>
          </w:tcPr>
          <w:p w14:paraId="1A3E6093">
            <w:pPr>
              <w:spacing w:after="0" w:line="240" w:lineRule="auto"/>
            </w:pPr>
            <w:r>
              <w:rPr>
                <w:sz w:val="19"/>
              </w:rPr>
              <w:t>Azure Key Vault</w:t>
            </w:r>
          </w:p>
        </w:tc>
      </w:tr>
      <w:tr w14:paraId="273B0A8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1B0EE12E">
            <w:pPr>
              <w:spacing w:after="0" w:line="240" w:lineRule="auto"/>
            </w:pPr>
            <w:r>
              <w:rPr>
                <w:sz w:val="19"/>
              </w:rPr>
              <w:t>Monitoring</w:t>
            </w:r>
          </w:p>
        </w:tc>
        <w:tc>
          <w:tcPr>
            <w:tcW w:w="2880" w:type="dxa"/>
          </w:tcPr>
          <w:p w14:paraId="09977CFE">
            <w:pPr>
              <w:spacing w:after="0" w:line="240" w:lineRule="auto"/>
            </w:pPr>
            <w:r>
              <w:rPr>
                <w:sz w:val="19"/>
              </w:rPr>
              <w:t>A Postgres run-log + daily check script</w:t>
            </w:r>
          </w:p>
        </w:tc>
        <w:tc>
          <w:tcPr>
            <w:tcW w:w="2880" w:type="dxa"/>
          </w:tcPr>
          <w:p w14:paraId="2F4B8FF5">
            <w:pPr>
              <w:spacing w:after="0" w:line="240" w:lineRule="auto"/>
            </w:pPr>
            <w:r>
              <w:rPr>
                <w:sz w:val="19"/>
              </w:rPr>
              <w:t>Azure Monitor</w:t>
            </w:r>
          </w:p>
        </w:tc>
      </w:tr>
      <w:tr w14:paraId="381E7A5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61277F87">
            <w:pPr>
              <w:spacing w:after="0" w:line="240" w:lineRule="auto"/>
            </w:pPr>
            <w:r>
              <w:rPr>
                <w:sz w:val="19"/>
              </w:rPr>
              <w:t>Vocabulary</w:t>
            </w:r>
          </w:p>
        </w:tc>
        <w:tc>
          <w:tcPr>
            <w:tcW w:w="2880" w:type="dxa"/>
          </w:tcPr>
          <w:p w14:paraId="0EAE62D7">
            <w:pPr>
              <w:spacing w:after="0" w:line="240" w:lineRule="auto"/>
            </w:pPr>
            <w:r>
              <w:rPr>
                <w:sz w:val="19"/>
              </w:rPr>
              <w:t>OHDSI Athena download, versioned</w:t>
            </w:r>
          </w:p>
        </w:tc>
        <w:tc>
          <w:tcPr>
            <w:tcW w:w="2880" w:type="dxa"/>
          </w:tcPr>
          <w:p w14:paraId="4C4C0C51">
            <w:pPr>
              <w:spacing w:after="0" w:line="240" w:lineRule="auto"/>
            </w:pPr>
            <w:r>
              <w:rPr>
                <w:sz w:val="19"/>
              </w:rPr>
              <w:t>Unchanged</w:t>
            </w:r>
          </w:p>
        </w:tc>
      </w:tr>
      <w:tr w14:paraId="76BFA08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39D86DDD">
            <w:pPr>
              <w:spacing w:after="0" w:line="240" w:lineRule="auto"/>
            </w:pPr>
            <w:r>
              <w:rPr>
                <w:sz w:val="19"/>
              </w:rPr>
              <w:t>Cohort AI</w:t>
            </w:r>
          </w:p>
        </w:tc>
        <w:tc>
          <w:tcPr>
            <w:tcW w:w="2880" w:type="dxa"/>
          </w:tcPr>
          <w:p w14:paraId="52D1D883">
            <w:pPr>
              <w:spacing w:after="0" w:line="240" w:lineRule="auto"/>
            </w:pPr>
            <w:r>
              <w:rPr>
                <w:sz w:val="19"/>
              </w:rPr>
              <w:t>LLM drafts spec; Python compiles + runs SQL</w:t>
            </w:r>
          </w:p>
        </w:tc>
        <w:tc>
          <w:tcPr>
            <w:tcW w:w="2880" w:type="dxa"/>
          </w:tcPr>
          <w:p w14:paraId="4D1FD03E">
            <w:pPr>
              <w:spacing w:after="0" w:line="240" w:lineRule="auto"/>
            </w:pPr>
            <w:r>
              <w:rPr>
                <w:sz w:val="19"/>
              </w:rPr>
              <w:t>Unchanged — this rule holds regardless of budget</w:t>
            </w:r>
          </w:p>
        </w:tc>
      </w:tr>
    </w:tbl>
    <w:p w14:paraId="3FD8BADD">
      <w:pPr>
        <w:spacing w:after="120"/>
      </w:pPr>
    </w:p>
    <w:p w14:paraId="22DED6EE">
      <w:pPr>
        <w:spacing w:after="160"/>
      </w:pPr>
      <w:r>
        <w:rPr>
          <w:b/>
          <w:sz w:val="21"/>
        </w:rPr>
        <w:t>Deliberately not using yet:</w:t>
      </w:r>
      <w:r>
        <w:rPr>
          <w:sz w:val="21"/>
        </w:rPr>
        <w:t xml:space="preserve"> Spark, Kubernetes, Kafka/streaming, and a full orchestrator like Airflow — none of them fix a problem this project has at its current scale. Each has a specific, named trigger (in the full workbook) for when it would start earning its cost.</w:t>
      </w:r>
    </w:p>
    <w:p w14:paraId="4F87340D">
      <w:pPr>
        <w:pBdr>
          <w:bottom w:val="single" w:color="CBD0C6" w:sz="6" w:space="1"/>
        </w:pBdr>
        <w:spacing w:before="80" w:after="80"/>
      </w:pPr>
    </w:p>
    <w:p w14:paraId="7846F8F7">
      <w:pPr>
        <w:pStyle w:val="3"/>
      </w:pPr>
      <w:r>
        <w:t>Backend structure: how we’ll actually build this</w:t>
      </w:r>
    </w:p>
    <w:p w14:paraId="1C0F4613">
      <w:pPr>
        <w:spacing w:after="160"/>
      </w:pPr>
      <w:r>
        <w:rPr>
          <w:sz w:val="21"/>
        </w:rPr>
        <w:t>A single, small Python codebase, organized by pipeline stage — not a collection of unrelated scripts. Each folder is independently runnable and testable on its own.</w:t>
      </w:r>
    </w:p>
    <w:tbl>
      <w:tblPr>
        <w:tblStyle w:val="12"/>
        <w:tblW w:w="0" w:type="auto"/>
        <w:tblInd w:w="0" w:type="dxa"/>
        <w:tblLayout w:type="autofit"/>
        <w:tblCellMar>
          <w:top w:w="0" w:type="dxa"/>
          <w:left w:w="108" w:type="dxa"/>
          <w:bottom w:w="0" w:type="dxa"/>
          <w:right w:w="108" w:type="dxa"/>
        </w:tblCellMar>
      </w:tblPr>
      <w:tblGrid>
        <w:gridCol w:w="8640"/>
      </w:tblGrid>
      <w:tr w14:paraId="4F341E7B">
        <w:tc>
          <w:tcPr>
            <w:tcW w:w="8640" w:type="dxa"/>
            <w:shd w:val="clear" w:color="auto" w:fill="F1EFEA"/>
          </w:tcPr>
          <w:p w14:paraId="61D61F60">
            <w:pPr>
              <w:spacing w:after="0"/>
            </w:pPr>
            <w:r>
              <w:rPr>
                <w:rFonts w:ascii="Consolas" w:hAnsi="Consolas"/>
                <w:sz w:val="18"/>
              </w:rPr>
              <w:t>cohort-platform/</w:t>
            </w:r>
          </w:p>
          <w:p w14:paraId="5EB31D77">
            <w:pPr>
              <w:spacing w:after="0"/>
            </w:pPr>
            <w:r>
              <w:rPr>
                <w:rFonts w:ascii="Consolas" w:hAnsi="Consolas"/>
                <w:sz w:val="18"/>
              </w:rPr>
              <w:t>├── .env.example                  # Template for local secrets — never committed</w:t>
            </w:r>
          </w:p>
          <w:p w14:paraId="51544B80">
            <w:pPr>
              <w:spacing w:after="0"/>
            </w:pPr>
            <w:r>
              <w:rPr>
                <w:rFonts w:ascii="Consolas" w:hAnsi="Consolas"/>
                <w:sz w:val="18"/>
              </w:rPr>
              <w:t>├── docker-compose.yml             # Spins up local Postgres</w:t>
            </w:r>
          </w:p>
          <w:p w14:paraId="6F5F7F5C">
            <w:pPr>
              <w:spacing w:after="0"/>
            </w:pPr>
            <w:r>
              <w:rPr>
                <w:rFonts w:ascii="Consolas" w:hAnsi="Consolas"/>
                <w:sz w:val="18"/>
              </w:rPr>
              <w:t>├── requirements.txt</w:t>
            </w:r>
          </w:p>
          <w:p w14:paraId="5C053216">
            <w:pPr>
              <w:spacing w:after="0"/>
            </w:pPr>
            <w:r>
              <w:rPr>
                <w:rFonts w:ascii="Consolas" w:hAnsi="Consolas"/>
                <w:sz w:val="18"/>
              </w:rPr>
              <w:t>│</w:t>
            </w:r>
          </w:p>
          <w:p w14:paraId="69D16697">
            <w:pPr>
              <w:spacing w:after="0"/>
            </w:pPr>
            <w:r>
              <w:rPr>
                <w:rFonts w:ascii="Consolas" w:hAnsi="Consolas"/>
                <w:sz w:val="18"/>
              </w:rPr>
              <w:t>├── ingestion/</w:t>
            </w:r>
          </w:p>
          <w:p w14:paraId="782B3DC0">
            <w:pPr>
              <w:spacing w:after="0"/>
            </w:pPr>
            <w:r>
              <w:rPr>
                <w:rFonts w:ascii="Consolas" w:hAnsi="Consolas"/>
                <w:sz w:val="18"/>
              </w:rPr>
              <w:t>│   ├── pull_fhir.py               # Pulls Bundles from a hospital's FHIR API using _lastUpdated</w:t>
            </w:r>
          </w:p>
          <w:p w14:paraId="158D01A2">
            <w:pPr>
              <w:spacing w:after="0"/>
            </w:pPr>
            <w:r>
              <w:rPr>
                <w:rFonts w:ascii="Consolas" w:hAnsi="Consolas"/>
                <w:sz w:val="18"/>
              </w:rPr>
              <w:t>│   ├── validate_bundle.py         # Schema/sanity checks before anything is written</w:t>
            </w:r>
          </w:p>
          <w:p w14:paraId="2E0F9DEA">
            <w:pPr>
              <w:spacing w:after="0"/>
            </w:pPr>
            <w:r>
              <w:rPr>
                <w:rFonts w:ascii="Consolas" w:hAnsi="Consolas"/>
                <w:sz w:val="18"/>
              </w:rPr>
              <w:t>│   └── sources.yaml               # Per-hospital connection settings (credentials via .env)</w:t>
            </w:r>
          </w:p>
          <w:p w14:paraId="08E8AF21">
            <w:pPr>
              <w:spacing w:after="0"/>
            </w:pPr>
            <w:r>
              <w:rPr>
                <w:rFonts w:ascii="Consolas" w:hAnsi="Consolas"/>
                <w:sz w:val="18"/>
              </w:rPr>
              <w:t>│</w:t>
            </w:r>
          </w:p>
          <w:p w14:paraId="5550297C">
            <w:pPr>
              <w:spacing w:after="0"/>
            </w:pPr>
            <w:r>
              <w:rPr>
                <w:rFonts w:ascii="Consolas" w:hAnsi="Consolas"/>
                <w:sz w:val="18"/>
              </w:rPr>
              <w:t>├── raw/</w:t>
            </w:r>
          </w:p>
          <w:p w14:paraId="56D796C5">
            <w:pPr>
              <w:spacing w:after="0"/>
            </w:pPr>
            <w:r>
              <w:rPr>
                <w:rFonts w:ascii="Consolas" w:hAnsi="Consolas"/>
                <w:sz w:val="18"/>
              </w:rPr>
              <w:t>│   └── iceberg_catalog.py         # PyIceberg setup — catalog metadata lives in Postgres, files on local disk</w:t>
            </w:r>
          </w:p>
          <w:p w14:paraId="04F6B9EA">
            <w:pPr>
              <w:spacing w:after="0"/>
            </w:pPr>
            <w:r>
              <w:rPr>
                <w:rFonts w:ascii="Consolas" w:hAnsi="Consolas"/>
                <w:sz w:val="18"/>
              </w:rPr>
              <w:t>│</w:t>
            </w:r>
          </w:p>
          <w:p w14:paraId="1063D47D">
            <w:pPr>
              <w:spacing w:after="0"/>
            </w:pPr>
            <w:r>
              <w:rPr>
                <w:rFonts w:ascii="Consolas" w:hAnsi="Consolas"/>
                <w:sz w:val="18"/>
              </w:rPr>
              <w:t>├── staging/</w:t>
            </w:r>
          </w:p>
          <w:p w14:paraId="3D525681">
            <w:pPr>
              <w:spacing w:after="0"/>
            </w:pPr>
            <w:r>
              <w:rPr>
                <w:rFonts w:ascii="Consolas" w:hAnsi="Consolas"/>
                <w:sz w:val="18"/>
              </w:rPr>
              <w:t>│   └── load_to_staging.py         # Flattens raw Iceberg/JSON into Postgres staging tables</w:t>
            </w:r>
          </w:p>
          <w:p w14:paraId="16E1E50F">
            <w:pPr>
              <w:spacing w:after="0"/>
            </w:pPr>
            <w:r>
              <w:rPr>
                <w:rFonts w:ascii="Consolas" w:hAnsi="Consolas"/>
                <w:sz w:val="18"/>
              </w:rPr>
              <w:t>│</w:t>
            </w:r>
          </w:p>
          <w:p w14:paraId="17ED3CE2">
            <w:pPr>
              <w:spacing w:after="0"/>
            </w:pPr>
            <w:r>
              <w:rPr>
                <w:rFonts w:ascii="Consolas" w:hAnsi="Consolas"/>
                <w:sz w:val="18"/>
              </w:rPr>
              <w:t>├── vocabulary/</w:t>
            </w:r>
          </w:p>
          <w:p w14:paraId="1F45D8DF">
            <w:pPr>
              <w:spacing w:after="0"/>
            </w:pPr>
            <w:r>
              <w:rPr>
                <w:rFonts w:ascii="Consolas" w:hAnsi="Consolas"/>
                <w:sz w:val="18"/>
              </w:rPr>
              <w:t>│   ├── athena_loader.py           # Loads/refreshes the OHDSI vocabulary tables, versioned</w:t>
            </w:r>
          </w:p>
          <w:p w14:paraId="0F9C75E6">
            <w:pPr>
              <w:spacing w:after="0"/>
            </w:pPr>
            <w:r>
              <w:rPr>
                <w:rFonts w:ascii="Consolas" w:hAnsi="Consolas"/>
                <w:sz w:val="18"/>
              </w:rPr>
              <w:t>│   └── mapping_report.py          # Reports every source code with no standard-concept match</w:t>
            </w:r>
          </w:p>
          <w:p w14:paraId="4BA93CEA">
            <w:pPr>
              <w:spacing w:after="0"/>
            </w:pPr>
            <w:r>
              <w:rPr>
                <w:rFonts w:ascii="Consolas" w:hAnsi="Consolas"/>
                <w:sz w:val="18"/>
              </w:rPr>
              <w:t>│</w:t>
            </w:r>
          </w:p>
          <w:p w14:paraId="625D0845">
            <w:pPr>
              <w:spacing w:after="0"/>
            </w:pPr>
            <w:r>
              <w:rPr>
                <w:rFonts w:ascii="Consolas" w:hAnsi="Consolas"/>
                <w:sz w:val="18"/>
              </w:rPr>
              <w:t>├── transform/                      # dbt project</w:t>
            </w:r>
          </w:p>
          <w:p w14:paraId="1F9BDB70">
            <w:pPr>
              <w:spacing w:after="0"/>
            </w:pPr>
            <w:r>
              <w:rPr>
                <w:rFonts w:ascii="Consolas" w:hAnsi="Consolas"/>
                <w:sz w:val="18"/>
              </w:rPr>
              <w:t>│   ├── models/</w:t>
            </w:r>
          </w:p>
          <w:p w14:paraId="5BECEA75">
            <w:pPr>
              <w:spacing w:after="0"/>
            </w:pPr>
            <w:r>
              <w:rPr>
                <w:rFonts w:ascii="Consolas" w:hAnsi="Consolas"/>
                <w:sz w:val="18"/>
              </w:rPr>
              <w:t>│   │   ├── staging/                # 1:1 cleaned models, one per FHIR resource type</w:t>
            </w:r>
          </w:p>
          <w:p w14:paraId="5A638DF3">
            <w:pPr>
              <w:spacing w:after="0"/>
            </w:pPr>
            <w:r>
              <w:rPr>
                <w:rFonts w:ascii="Consolas" w:hAnsi="Consolas"/>
                <w:sz w:val="18"/>
              </w:rPr>
              <w:t>│   │   ├── omop/                   # PERSON, CONDITION_OCCURRENCE, MEASUREMENT, DRUG_EXPOSURE, ...</w:t>
            </w:r>
          </w:p>
          <w:p w14:paraId="23F3EDEC">
            <w:pPr>
              <w:spacing w:after="0"/>
            </w:pPr>
            <w:r>
              <w:rPr>
                <w:rFonts w:ascii="Consolas" w:hAnsi="Consolas"/>
                <w:sz w:val="18"/>
              </w:rPr>
              <w:t>│   │   └── marts/                  # Diabetes Mart, etc. — built on top of omop/</w:t>
            </w:r>
          </w:p>
          <w:p w14:paraId="13478CC2">
            <w:pPr>
              <w:spacing w:after="0"/>
            </w:pPr>
            <w:r>
              <w:rPr>
                <w:rFonts w:ascii="Consolas" w:hAnsi="Consolas"/>
                <w:sz w:val="18"/>
              </w:rPr>
              <w:t>│   ├── tests/                      # dbt tests: not-null, relationships, clinical plausibility</w:t>
            </w:r>
          </w:p>
          <w:p w14:paraId="0B2A2DBA">
            <w:pPr>
              <w:spacing w:after="0"/>
            </w:pPr>
            <w:r>
              <w:rPr>
                <w:rFonts w:ascii="Consolas" w:hAnsi="Consolas"/>
                <w:sz w:val="18"/>
              </w:rPr>
              <w:t>│   └── dbt_project.yml</w:t>
            </w:r>
          </w:p>
          <w:p w14:paraId="7D66CAAB">
            <w:pPr>
              <w:spacing w:after="0"/>
            </w:pPr>
            <w:r>
              <w:rPr>
                <w:rFonts w:ascii="Consolas" w:hAnsi="Consolas"/>
                <w:sz w:val="18"/>
              </w:rPr>
              <w:t>│</w:t>
            </w:r>
          </w:p>
          <w:p w14:paraId="0027FB74">
            <w:pPr>
              <w:spacing w:after="0"/>
            </w:pPr>
            <w:r>
              <w:rPr>
                <w:rFonts w:ascii="Consolas" w:hAnsi="Consolas"/>
                <w:sz w:val="18"/>
              </w:rPr>
              <w:t>├── cohort/</w:t>
            </w:r>
          </w:p>
          <w:p w14:paraId="2EF5A948">
            <w:pPr>
              <w:spacing w:after="0"/>
            </w:pPr>
            <w:r>
              <w:rPr>
                <w:rFonts w:ascii="Consolas" w:hAnsi="Consolas"/>
                <w:sz w:val="18"/>
              </w:rPr>
              <w:t>│   ├── cohort_spec.schema.json    # The JSON Schema every LLM-drafted spec must satisfy</w:t>
            </w:r>
          </w:p>
          <w:p w14:paraId="0B62163D">
            <w:pPr>
              <w:spacing w:after="0"/>
            </w:pPr>
            <w:r>
              <w:rPr>
                <w:rFonts w:ascii="Consolas" w:hAnsi="Consolas"/>
                <w:sz w:val="18"/>
              </w:rPr>
              <w:t>│   ├── llm_draft.py                # Calls the LLM, returns a structured spec — nothing else</w:t>
            </w:r>
          </w:p>
          <w:p w14:paraId="2A85FE66">
            <w:pPr>
              <w:spacing w:after="0"/>
            </w:pPr>
            <w:r>
              <w:rPr>
                <w:rFonts w:ascii="Consolas" w:hAnsi="Consolas"/>
                <w:sz w:val="18"/>
              </w:rPr>
              <w:t>│   ├── validate_spec.py            # Validates the spec against the schema and known concept sets</w:t>
            </w:r>
          </w:p>
          <w:p w14:paraId="17187DF7">
            <w:pPr>
              <w:spacing w:after="0"/>
            </w:pPr>
            <w:r>
              <w:rPr>
                <w:rFonts w:ascii="Consolas" w:hAnsi="Consolas"/>
                <w:sz w:val="18"/>
              </w:rPr>
              <w:t>│   ├── compile_sql.py              # Deterministic: spec -&gt; parameterized SQL</w:t>
            </w:r>
          </w:p>
          <w:p w14:paraId="40F01B83">
            <w:pPr>
              <w:spacing w:after="0"/>
            </w:pPr>
            <w:r>
              <w:rPr>
                <w:rFonts w:ascii="Consolas" w:hAnsi="Consolas"/>
                <w:sz w:val="18"/>
              </w:rPr>
              <w:t>│   └── run_cohort.py               # Executes the SQL, stamps the result with versions</w:t>
            </w:r>
          </w:p>
          <w:p w14:paraId="292F88BC">
            <w:pPr>
              <w:spacing w:after="0"/>
            </w:pPr>
            <w:r>
              <w:rPr>
                <w:rFonts w:ascii="Consolas" w:hAnsi="Consolas"/>
                <w:sz w:val="18"/>
              </w:rPr>
              <w:t>│</w:t>
            </w:r>
          </w:p>
          <w:p w14:paraId="62598C94">
            <w:pPr>
              <w:spacing w:after="0"/>
            </w:pPr>
            <w:r>
              <w:rPr>
                <w:rFonts w:ascii="Consolas" w:hAnsi="Consolas"/>
                <w:sz w:val="18"/>
              </w:rPr>
              <w:t>├── monitoring/</w:t>
            </w:r>
          </w:p>
          <w:p w14:paraId="408216F6">
            <w:pPr>
              <w:spacing w:after="0"/>
            </w:pPr>
            <w:r>
              <w:rPr>
                <w:rFonts w:ascii="Consolas" w:hAnsi="Consolas"/>
                <w:sz w:val="18"/>
              </w:rPr>
              <w:t>│   ├── run_log_schema.sql          # Postgres table: one row per pipeline run</w:t>
            </w:r>
          </w:p>
          <w:p w14:paraId="38E993A0">
            <w:pPr>
              <w:spacing w:after="0"/>
            </w:pPr>
            <w:r>
              <w:rPr>
                <w:rFonts w:ascii="Consolas" w:hAnsi="Consolas"/>
                <w:sz w:val="18"/>
              </w:rPr>
              <w:t>│   └── daily_check.py              # Row-count / cohort-size anomaly check + alert</w:t>
            </w:r>
          </w:p>
          <w:p w14:paraId="62CE3620">
            <w:pPr>
              <w:spacing w:after="0"/>
            </w:pPr>
            <w:r>
              <w:rPr>
                <w:rFonts w:ascii="Consolas" w:hAnsi="Consolas"/>
                <w:sz w:val="18"/>
              </w:rPr>
              <w:t>│</w:t>
            </w:r>
          </w:p>
          <w:p w14:paraId="52E09CF7">
            <w:pPr>
              <w:spacing w:after="0"/>
            </w:pPr>
            <w:r>
              <w:rPr>
                <w:rFonts w:ascii="Consolas" w:hAnsi="Consolas"/>
                <w:sz w:val="18"/>
              </w:rPr>
              <w:t>├── orchestration/</w:t>
            </w:r>
          </w:p>
          <w:p w14:paraId="6D488D89">
            <w:pPr>
              <w:spacing w:after="0"/>
            </w:pPr>
            <w:r>
              <w:rPr>
                <w:rFonts w:ascii="Consolas" w:hAnsi="Consolas"/>
                <w:sz w:val="18"/>
              </w:rPr>
              <w:t>│   └── run_pipeline.py             # The single entry point Task Scheduler calls each night</w:t>
            </w:r>
          </w:p>
          <w:p w14:paraId="45359FD7">
            <w:pPr>
              <w:spacing w:after="0"/>
            </w:pPr>
            <w:r>
              <w:rPr>
                <w:rFonts w:ascii="Consolas" w:hAnsi="Consolas"/>
                <w:sz w:val="18"/>
              </w:rPr>
              <w:t>│</w:t>
            </w:r>
          </w:p>
          <w:p w14:paraId="4EF7ECEF">
            <w:pPr>
              <w:spacing w:after="0"/>
            </w:pPr>
            <w:r>
              <w:rPr>
                <w:rFonts w:ascii="Consolas" w:hAnsi="Consolas"/>
                <w:sz w:val="18"/>
              </w:rPr>
              <w:t>└── docs/                            # This proposal, the full workbook, etc.</w:t>
            </w:r>
          </w:p>
        </w:tc>
      </w:tr>
    </w:tbl>
    <w:p w14:paraId="309810FF">
      <w:pPr>
        <w:spacing w:after="80"/>
      </w:pPr>
    </w:p>
    <w:p w14:paraId="7D92FC0B">
      <w:pPr>
        <w:pStyle w:val="4"/>
      </w:pPr>
      <w:r>
        <w:t>How it actually runs, night to night</w:t>
      </w:r>
    </w:p>
    <w:p w14:paraId="13654BCF">
      <w:pPr>
        <w:pStyle w:val="29"/>
        <w:spacing w:after="160"/>
      </w:pPr>
      <w:r>
        <w:rPr>
          <w:b/>
          <w:sz w:val="21"/>
        </w:rPr>
        <w:t>Task Scheduler</w:t>
      </w:r>
      <w:r>
        <w:rPr>
          <w:sz w:val="21"/>
        </w:rPr>
        <w:t xml:space="preserve"> triggers </w:t>
      </w:r>
      <w:r>
        <w:rPr>
          <w:rFonts w:ascii="Consolas" w:hAnsi="Consolas"/>
          <w:sz w:val="21"/>
        </w:rPr>
        <w:t>orchestration/run_pipeline.py</w:t>
      </w:r>
      <w:r>
        <w:rPr>
          <w:sz w:val="21"/>
        </w:rPr>
        <w:t xml:space="preserve"> once a night (e.g. 2 AM).</w:t>
      </w:r>
    </w:p>
    <w:p w14:paraId="3FD81CB8">
      <w:pPr>
        <w:pStyle w:val="29"/>
        <w:spacing w:after="160"/>
      </w:pPr>
      <w:r>
        <w:rPr>
          <w:sz w:val="21"/>
        </w:rPr>
        <w:t xml:space="preserve">It calls </w:t>
      </w:r>
      <w:r>
        <w:rPr>
          <w:rFonts w:ascii="Consolas" w:hAnsi="Consolas"/>
          <w:sz w:val="21"/>
        </w:rPr>
        <w:t>ingestion/pull_fhir.py</w:t>
      </w:r>
      <w:r>
        <w:rPr>
          <w:sz w:val="21"/>
        </w:rPr>
        <w:t xml:space="preserve"> once </w:t>
      </w:r>
      <w:r>
        <w:rPr>
          <w:b/>
          <w:sz w:val="21"/>
        </w:rPr>
        <w:t>per hospital source</w:t>
      </w:r>
      <w:r>
        <w:rPr>
          <w:sz w:val="21"/>
        </w:rPr>
        <w:t>, so one source’s failure can’t touch another’s.</w:t>
      </w:r>
    </w:p>
    <w:p w14:paraId="401BE88E">
      <w:pPr>
        <w:pStyle w:val="29"/>
        <w:spacing w:after="160"/>
      </w:pPr>
      <w:r>
        <w:rPr>
          <w:sz w:val="21"/>
        </w:rPr>
        <w:t xml:space="preserve">Each pull is validated, then written into an immutable </w:t>
      </w:r>
      <w:r>
        <w:rPr>
          <w:b/>
          <w:sz w:val="21"/>
        </w:rPr>
        <w:t>Iceberg snapshot</w:t>
      </w:r>
      <w:r>
        <w:rPr>
          <w:sz w:val="21"/>
        </w:rPr>
        <w:t>.</w:t>
      </w:r>
    </w:p>
    <w:p w14:paraId="6A80249C">
      <w:pPr>
        <w:pStyle w:val="29"/>
        <w:spacing w:after="160"/>
      </w:pPr>
      <w:r>
        <w:rPr>
          <w:rFonts w:ascii="Consolas" w:hAnsi="Consolas"/>
          <w:sz w:val="21"/>
        </w:rPr>
        <w:t>staging/load_to_staging.py</w:t>
      </w:r>
      <w:r>
        <w:rPr>
          <w:sz w:val="21"/>
        </w:rPr>
        <w:t xml:space="preserve"> flattens the new raw data into Postgres staging tables.</w:t>
      </w:r>
    </w:p>
    <w:p w14:paraId="759FF013">
      <w:pPr>
        <w:pStyle w:val="29"/>
        <w:spacing w:after="160"/>
      </w:pPr>
      <w:r>
        <w:rPr>
          <w:rFonts w:ascii="Consolas" w:hAnsi="Consolas"/>
          <w:sz w:val="21"/>
        </w:rPr>
        <w:t>dbt run</w:t>
      </w:r>
      <w:r>
        <w:rPr>
          <w:sz w:val="21"/>
        </w:rPr>
        <w:t xml:space="preserve"> builds staging → OMOP → marts, using the vocabulary tables to map every source code to a standard concept.</w:t>
      </w:r>
    </w:p>
    <w:p w14:paraId="1F5296F7">
      <w:pPr>
        <w:pStyle w:val="29"/>
        <w:spacing w:after="160"/>
      </w:pPr>
      <w:r>
        <w:rPr>
          <w:rFonts w:ascii="Consolas" w:hAnsi="Consolas"/>
          <w:sz w:val="21"/>
        </w:rPr>
        <w:t>dbt test</w:t>
      </w:r>
      <w:r>
        <w:rPr>
          <w:sz w:val="21"/>
        </w:rPr>
        <w:t xml:space="preserve"> runs the data-quality gate; a critical failure halts promotion and raises an alert instead of silently loading bad data.</w:t>
      </w:r>
    </w:p>
    <w:p w14:paraId="00452504">
      <w:pPr>
        <w:pStyle w:val="29"/>
        <w:spacing w:after="160"/>
      </w:pPr>
      <w:r>
        <w:rPr>
          <w:rFonts w:ascii="Consolas" w:hAnsi="Consolas"/>
          <w:sz w:val="21"/>
        </w:rPr>
        <w:t>monitoring/daily_check.py</w:t>
      </w:r>
      <w:r>
        <w:rPr>
          <w:sz w:val="21"/>
        </w:rPr>
        <w:t xml:space="preserve"> compares today’s row counts against the recent average and logs everything — including the git commit hash and vocabulary version used — to the run-log table.</w:t>
      </w:r>
    </w:p>
    <w:p w14:paraId="05FE277F">
      <w:pPr>
        <w:pStyle w:val="29"/>
        <w:spacing w:after="160"/>
      </w:pPr>
      <w:r>
        <w:rPr>
          <w:sz w:val="21"/>
        </w:rPr>
        <w:t>Success or failure, the run-log table now has a complete, queryable history of every pipeline run.</w:t>
      </w:r>
    </w:p>
    <w:p w14:paraId="78452DE0">
      <w:pPr>
        <w:spacing w:after="160"/>
      </w:pPr>
      <w:r>
        <w:rPr>
          <w:b/>
          <w:sz w:val="21"/>
        </w:rPr>
        <w:t>Cohort generation runs separately, on demand</w:t>
      </w:r>
      <w:r>
        <w:rPr>
          <w:sz w:val="21"/>
        </w:rPr>
        <w:t xml:space="preserve"> — not as part of the nightly batch: someone submits a trial protocol → </w:t>
      </w:r>
      <w:r>
        <w:rPr>
          <w:rFonts w:ascii="Consolas" w:hAnsi="Consolas"/>
          <w:sz w:val="21"/>
        </w:rPr>
        <w:t>llm_draft.py</w:t>
      </w:r>
      <w:r>
        <w:rPr>
          <w:sz w:val="21"/>
        </w:rPr>
        <w:t xml:space="preserve"> proposes a structured spec → </w:t>
      </w:r>
      <w:r>
        <w:rPr>
          <w:rFonts w:ascii="Consolas" w:hAnsi="Consolas"/>
          <w:sz w:val="21"/>
        </w:rPr>
        <w:t>validate_spec.py</w:t>
      </w:r>
      <w:r>
        <w:rPr>
          <w:sz w:val="21"/>
        </w:rPr>
        <w:t xml:space="preserve"> checks it → </w:t>
      </w:r>
      <w:r>
        <w:rPr>
          <w:rFonts w:ascii="Consolas" w:hAnsi="Consolas"/>
          <w:sz w:val="21"/>
        </w:rPr>
        <w:t>compile_sql.py</w:t>
      </w:r>
      <w:r>
        <w:rPr>
          <w:sz w:val="21"/>
        </w:rPr>
        <w:t xml:space="preserve"> turns it into SQL → </w:t>
      </w:r>
      <w:r>
        <w:rPr>
          <w:rFonts w:ascii="Consolas" w:hAnsi="Consolas"/>
          <w:sz w:val="21"/>
        </w:rPr>
        <w:t>run_cohort.py</w:t>
      </w:r>
      <w:r>
        <w:rPr>
          <w:sz w:val="21"/>
        </w:rPr>
        <w:t xml:space="preserve"> executes it against the OMOP marts and returns a patient list stamped with exactly which data snapshot, vocabulary version, and code version produced it.</w:t>
      </w:r>
    </w:p>
    <w:p w14:paraId="5CD7A981">
      <w:pPr>
        <w:pStyle w:val="4"/>
      </w:pPr>
      <w:r>
        <w:t>Core technology per piece</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320"/>
        <w:gridCol w:w="4320"/>
      </w:tblGrid>
      <w:tr w14:paraId="676B39C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shd w:val="clear" w:color="auto" w:fill="E7D5C0"/>
          </w:tcPr>
          <w:p w14:paraId="5128C423">
            <w:pPr>
              <w:spacing w:after="0" w:line="240" w:lineRule="auto"/>
            </w:pPr>
            <w:r>
              <w:rPr>
                <w:b/>
                <w:sz w:val="19"/>
              </w:rPr>
              <w:t>Piece</w:t>
            </w:r>
          </w:p>
        </w:tc>
        <w:tc>
          <w:tcPr>
            <w:tcW w:w="4320" w:type="dxa"/>
            <w:shd w:val="clear" w:color="auto" w:fill="E7D5C0"/>
          </w:tcPr>
          <w:p w14:paraId="185B1889">
            <w:pPr>
              <w:spacing w:after="0" w:line="240" w:lineRule="auto"/>
            </w:pPr>
            <w:r>
              <w:rPr>
                <w:b/>
                <w:sz w:val="19"/>
              </w:rPr>
              <w:t>Library / tool</w:t>
            </w:r>
          </w:p>
        </w:tc>
      </w:tr>
      <w:tr w14:paraId="64D5CFF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3283BD78">
            <w:pPr>
              <w:spacing w:after="0" w:line="240" w:lineRule="auto"/>
            </w:pPr>
            <w:r>
              <w:rPr>
                <w:sz w:val="19"/>
              </w:rPr>
              <w:t>FHIR pulls</w:t>
            </w:r>
          </w:p>
        </w:tc>
        <w:tc>
          <w:tcPr>
            <w:tcW w:w="4320" w:type="dxa"/>
          </w:tcPr>
          <w:p w14:paraId="1D7EFF34">
            <w:pPr>
              <w:spacing w:after="0" w:line="240" w:lineRule="auto"/>
            </w:pPr>
            <w:r>
              <w:rPr>
                <w:rFonts w:ascii="Consolas" w:hAnsi="Consolas"/>
                <w:sz w:val="19"/>
              </w:rPr>
              <w:t>requests</w:t>
            </w:r>
            <w:r>
              <w:rPr>
                <w:sz w:val="19"/>
              </w:rPr>
              <w:t xml:space="preserve"> (plain HTTP calls to the FHIR REST API)</w:t>
            </w:r>
          </w:p>
        </w:tc>
      </w:tr>
      <w:tr w14:paraId="019080C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174C6135">
            <w:pPr>
              <w:spacing w:after="0" w:line="240" w:lineRule="auto"/>
            </w:pPr>
            <w:r>
              <w:rPr>
                <w:sz w:val="19"/>
              </w:rPr>
              <w:t>Raw storage</w:t>
            </w:r>
          </w:p>
        </w:tc>
        <w:tc>
          <w:tcPr>
            <w:tcW w:w="4320" w:type="dxa"/>
          </w:tcPr>
          <w:p w14:paraId="391D3D18">
            <w:pPr>
              <w:spacing w:after="0" w:line="240" w:lineRule="auto"/>
            </w:pPr>
            <w:r>
              <w:rPr>
                <w:rFonts w:ascii="Consolas" w:hAnsi="Consolas"/>
                <w:sz w:val="19"/>
              </w:rPr>
              <w:t>pyiceberg</w:t>
            </w:r>
          </w:p>
        </w:tc>
      </w:tr>
      <w:tr w14:paraId="030255D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465E39B4">
            <w:pPr>
              <w:spacing w:after="0" w:line="240" w:lineRule="auto"/>
            </w:pPr>
            <w:r>
              <w:rPr>
                <w:sz w:val="19"/>
              </w:rPr>
              <w:t>Database</w:t>
            </w:r>
          </w:p>
        </w:tc>
        <w:tc>
          <w:tcPr>
            <w:tcW w:w="4320" w:type="dxa"/>
          </w:tcPr>
          <w:p w14:paraId="6E9B4014">
            <w:pPr>
              <w:spacing w:after="0" w:line="240" w:lineRule="auto"/>
            </w:pPr>
            <w:r>
              <w:rPr>
                <w:sz w:val="19"/>
              </w:rPr>
              <w:t xml:space="preserve">PostgreSQL (Docker), via </w:t>
            </w:r>
            <w:r>
              <w:rPr>
                <w:rFonts w:ascii="Consolas" w:hAnsi="Consolas"/>
                <w:sz w:val="19"/>
              </w:rPr>
              <w:t>psycopg2</w:t>
            </w:r>
            <w:r>
              <w:rPr>
                <w:sz w:val="19"/>
              </w:rPr>
              <w:t xml:space="preserve"> / </w:t>
            </w:r>
            <w:r>
              <w:rPr>
                <w:rFonts w:ascii="Consolas" w:hAnsi="Consolas"/>
                <w:sz w:val="19"/>
              </w:rPr>
              <w:t>SQLAlchemy</w:t>
            </w:r>
          </w:p>
        </w:tc>
      </w:tr>
      <w:tr w14:paraId="0053CCD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0E8B1D29">
            <w:pPr>
              <w:spacing w:after="0" w:line="240" w:lineRule="auto"/>
            </w:pPr>
            <w:r>
              <w:rPr>
                <w:sz w:val="19"/>
              </w:rPr>
              <w:t>Transformation &amp; tests</w:t>
            </w:r>
          </w:p>
        </w:tc>
        <w:tc>
          <w:tcPr>
            <w:tcW w:w="4320" w:type="dxa"/>
          </w:tcPr>
          <w:p w14:paraId="3C99F76E">
            <w:pPr>
              <w:spacing w:after="0" w:line="240" w:lineRule="auto"/>
            </w:pPr>
            <w:r>
              <w:rPr>
                <w:rFonts w:ascii="Consolas" w:hAnsi="Consolas"/>
                <w:sz w:val="19"/>
              </w:rPr>
              <w:t>dbt-core</w:t>
            </w:r>
            <w:r>
              <w:rPr>
                <w:sz w:val="19"/>
              </w:rPr>
              <w:t xml:space="preserve"> + </w:t>
            </w:r>
            <w:r>
              <w:rPr>
                <w:rFonts w:ascii="Consolas" w:hAnsi="Consolas"/>
                <w:sz w:val="19"/>
              </w:rPr>
              <w:t>dbt-postgres</w:t>
            </w:r>
          </w:p>
        </w:tc>
      </w:tr>
      <w:tr w14:paraId="3C75950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1F946622">
            <w:pPr>
              <w:spacing w:after="0" w:line="240" w:lineRule="auto"/>
            </w:pPr>
            <w:r>
              <w:rPr>
                <w:sz w:val="19"/>
              </w:rPr>
              <w:t>Config &amp; secrets</w:t>
            </w:r>
          </w:p>
        </w:tc>
        <w:tc>
          <w:tcPr>
            <w:tcW w:w="4320" w:type="dxa"/>
          </w:tcPr>
          <w:p w14:paraId="7DF91A13">
            <w:pPr>
              <w:spacing w:after="0" w:line="240" w:lineRule="auto"/>
            </w:pPr>
            <w:r>
              <w:rPr>
                <w:rFonts w:ascii="Consolas" w:hAnsi="Consolas"/>
                <w:sz w:val="19"/>
              </w:rPr>
              <w:t>python-dotenv</w:t>
            </w:r>
            <w:r>
              <w:rPr>
                <w:sz w:val="19"/>
              </w:rPr>
              <w:t xml:space="preserve">, a </w:t>
            </w:r>
            <w:r>
              <w:rPr>
                <w:rFonts w:ascii="Consolas" w:hAnsi="Consolas"/>
                <w:sz w:val="19"/>
              </w:rPr>
              <w:t>.env</w:t>
            </w:r>
            <w:r>
              <w:rPr>
                <w:sz w:val="19"/>
              </w:rPr>
              <w:t xml:space="preserve"> file</w:t>
            </w:r>
          </w:p>
        </w:tc>
      </w:tr>
      <w:tr w14:paraId="20D35AA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60794986">
            <w:pPr>
              <w:spacing w:after="0" w:line="240" w:lineRule="auto"/>
            </w:pPr>
            <w:r>
              <w:rPr>
                <w:sz w:val="19"/>
              </w:rPr>
              <w:t>Cohort spec validation</w:t>
            </w:r>
          </w:p>
        </w:tc>
        <w:tc>
          <w:tcPr>
            <w:tcW w:w="4320" w:type="dxa"/>
          </w:tcPr>
          <w:p w14:paraId="7100C3BC">
            <w:pPr>
              <w:spacing w:after="0" w:line="240" w:lineRule="auto"/>
            </w:pPr>
            <w:r>
              <w:rPr>
                <w:rFonts w:ascii="Consolas" w:hAnsi="Consolas"/>
                <w:sz w:val="19"/>
              </w:rPr>
              <w:t>jsonschema</w:t>
            </w:r>
          </w:p>
        </w:tc>
      </w:tr>
      <w:tr w14:paraId="765D75E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0A44B811">
            <w:pPr>
              <w:spacing w:after="0" w:line="240" w:lineRule="auto"/>
            </w:pPr>
            <w:r>
              <w:rPr>
                <w:sz w:val="19"/>
              </w:rPr>
              <w:t>LLM calls</w:t>
            </w:r>
          </w:p>
        </w:tc>
        <w:tc>
          <w:tcPr>
            <w:tcW w:w="4320" w:type="dxa"/>
          </w:tcPr>
          <w:p w14:paraId="59273BCC">
            <w:pPr>
              <w:spacing w:after="0" w:line="240" w:lineRule="auto"/>
            </w:pPr>
            <w:r>
              <w:rPr>
                <w:sz w:val="19"/>
              </w:rPr>
              <w:t>Anthropic (or OpenAI) SDK</w:t>
            </w:r>
          </w:p>
        </w:tc>
      </w:tr>
      <w:tr w14:paraId="085E9C0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082BDA38">
            <w:pPr>
              <w:spacing w:after="0" w:line="240" w:lineRule="auto"/>
            </w:pPr>
            <w:r>
              <w:rPr>
                <w:sz w:val="19"/>
              </w:rPr>
              <w:t>Scheduling</w:t>
            </w:r>
          </w:p>
        </w:tc>
        <w:tc>
          <w:tcPr>
            <w:tcW w:w="4320" w:type="dxa"/>
          </w:tcPr>
          <w:p w14:paraId="2B97C345">
            <w:pPr>
              <w:spacing w:after="0" w:line="240" w:lineRule="auto"/>
            </w:pPr>
            <w:r>
              <w:rPr>
                <w:sz w:val="19"/>
              </w:rPr>
              <w:t>Windows Task Scheduler (or cron)</w:t>
            </w:r>
          </w:p>
        </w:tc>
      </w:tr>
      <w:tr w14:paraId="1C238C6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4E117ECE">
            <w:pPr>
              <w:spacing w:after="0" w:line="240" w:lineRule="auto"/>
            </w:pPr>
            <w:r>
              <w:rPr>
                <w:sz w:val="19"/>
              </w:rPr>
              <w:t>Version control</w:t>
            </w:r>
          </w:p>
        </w:tc>
        <w:tc>
          <w:tcPr>
            <w:tcW w:w="4320" w:type="dxa"/>
          </w:tcPr>
          <w:p w14:paraId="1ACACEDF">
            <w:pPr>
              <w:spacing w:after="0" w:line="240" w:lineRule="auto"/>
            </w:pPr>
            <w:r>
              <w:rPr>
                <w:sz w:val="19"/>
              </w:rPr>
              <w:t>git — every pipeline run stamps its own commit hash</w:t>
            </w:r>
          </w:p>
        </w:tc>
      </w:tr>
    </w:tbl>
    <w:p w14:paraId="19A701A0">
      <w:pPr>
        <w:spacing w:after="120"/>
      </w:pPr>
    </w:p>
    <w:p w14:paraId="3A4D4A87">
      <w:pPr>
        <w:pBdr>
          <w:bottom w:val="single" w:color="CBD0C6" w:sz="6" w:space="1"/>
        </w:pBdr>
        <w:spacing w:before="80" w:after="80"/>
      </w:pPr>
    </w:p>
    <w:p w14:paraId="5C412447">
      <w:pPr>
        <w:pStyle w:val="3"/>
      </w:pPr>
      <w:r>
        <w:t>Inside a FHIR record, and how it’s handled</w:t>
      </w:r>
    </w:p>
    <w:p w14:paraId="5E06C923">
      <w:pPr>
        <w:spacing w:after="160"/>
      </w:pPr>
      <w:r>
        <w:rPr>
          <w:sz w:val="21"/>
        </w:rPr>
        <w:t>Everything above has been about the pipeline in the abstract. This section is the concrete version: what one of these JSON records actually contains, and exactly what happens to it, step by step.</w:t>
      </w:r>
    </w:p>
    <w:p w14:paraId="7ABD9454">
      <w:pPr>
        <w:spacing w:after="160"/>
      </w:pPr>
      <w:r>
        <w:rPr>
          <w:sz w:val="21"/>
        </w:rPr>
        <w:t xml:space="preserve">A hospital doesn’t send one record at a time — a query returns a </w:t>
      </w:r>
      <w:r>
        <w:rPr>
          <w:b/>
          <w:sz w:val="21"/>
        </w:rPr>
        <w:t>Bundle</w:t>
      </w:r>
      <w:r>
        <w:rPr>
          <w:sz w:val="21"/>
        </w:rPr>
        <w:t>, a JSON envelope holding a batch of resources. Inside that batch, here’s what the four resources for our example patient actually look like.</w:t>
      </w:r>
    </w:p>
    <w:p w14:paraId="58DE39AA">
      <w:pPr>
        <w:pStyle w:val="4"/>
      </w:pPr>
      <w:r>
        <w:t>Patient</w:t>
      </w:r>
    </w:p>
    <w:tbl>
      <w:tblPr>
        <w:tblStyle w:val="12"/>
        <w:tblW w:w="0" w:type="auto"/>
        <w:tblInd w:w="0" w:type="dxa"/>
        <w:tblLayout w:type="autofit"/>
        <w:tblCellMar>
          <w:top w:w="0" w:type="dxa"/>
          <w:left w:w="108" w:type="dxa"/>
          <w:bottom w:w="0" w:type="dxa"/>
          <w:right w:w="108" w:type="dxa"/>
        </w:tblCellMar>
      </w:tblPr>
      <w:tblGrid>
        <w:gridCol w:w="8640"/>
      </w:tblGrid>
      <w:tr w14:paraId="562B197E">
        <w:tblPrEx>
          <w:tblCellMar>
            <w:top w:w="0" w:type="dxa"/>
            <w:left w:w="108" w:type="dxa"/>
            <w:bottom w:w="0" w:type="dxa"/>
            <w:right w:w="108" w:type="dxa"/>
          </w:tblCellMar>
        </w:tblPrEx>
        <w:tc>
          <w:tcPr>
            <w:tcW w:w="8640" w:type="dxa"/>
            <w:shd w:val="clear" w:color="auto" w:fill="F1EFEA"/>
          </w:tcPr>
          <w:p w14:paraId="104F3973">
            <w:pPr>
              <w:spacing w:after="0"/>
            </w:pPr>
            <w:r>
              <w:rPr>
                <w:rFonts w:ascii="Consolas" w:hAnsi="Consolas"/>
                <w:sz w:val="18"/>
              </w:rPr>
              <w:t>{</w:t>
            </w:r>
          </w:p>
          <w:p w14:paraId="6E9DC30D">
            <w:pPr>
              <w:spacing w:after="0"/>
            </w:pPr>
            <w:r>
              <w:rPr>
                <w:rFonts w:ascii="Consolas" w:hAnsi="Consolas"/>
                <w:sz w:val="18"/>
              </w:rPr>
              <w:t xml:space="preserve">  "resourceType": "Patient",</w:t>
            </w:r>
          </w:p>
          <w:p w14:paraId="50C96D0F">
            <w:pPr>
              <w:spacing w:after="0"/>
            </w:pPr>
            <w:r>
              <w:rPr>
                <w:rFonts w:ascii="Consolas" w:hAnsi="Consolas"/>
                <w:sz w:val="18"/>
              </w:rPr>
              <w:t xml:space="preserve">  "id": "patient-88213",</w:t>
            </w:r>
          </w:p>
          <w:p w14:paraId="2A158105">
            <w:pPr>
              <w:spacing w:after="0"/>
            </w:pPr>
            <w:r>
              <w:rPr>
                <w:rFonts w:ascii="Consolas" w:hAnsi="Consolas"/>
                <w:sz w:val="18"/>
              </w:rPr>
              <w:t xml:space="preserve">  "identifier": [{ "system": "urn:hospital-mrn", "value": "MRN-88213" }],</w:t>
            </w:r>
          </w:p>
          <w:p w14:paraId="4F0CE4FB">
            <w:pPr>
              <w:spacing w:after="0"/>
            </w:pPr>
            <w:r>
              <w:rPr>
                <w:rFonts w:ascii="Consolas" w:hAnsi="Consolas"/>
                <w:sz w:val="18"/>
              </w:rPr>
              <w:t xml:space="preserve">  "gender": "male",</w:t>
            </w:r>
          </w:p>
          <w:p w14:paraId="3B94A2F9">
            <w:pPr>
              <w:spacing w:after="0"/>
            </w:pPr>
            <w:r>
              <w:rPr>
                <w:rFonts w:ascii="Consolas" w:hAnsi="Consolas"/>
                <w:sz w:val="18"/>
              </w:rPr>
              <w:t xml:space="preserve">  "birthDate": "1971-03-14"</w:t>
            </w:r>
          </w:p>
          <w:p w14:paraId="67B93800">
            <w:pPr>
              <w:spacing w:after="0"/>
            </w:pPr>
            <w:r>
              <w:rPr>
                <w:rFonts w:ascii="Consolas" w:hAnsi="Consolas"/>
                <w:sz w:val="18"/>
              </w:rPr>
              <w:t>}</w:t>
            </w:r>
          </w:p>
        </w:tc>
      </w:tr>
    </w:tbl>
    <w:p w14:paraId="0C704E56">
      <w:pPr>
        <w:spacing w:after="80"/>
      </w:pPr>
    </w:p>
    <w:p w14:paraId="6C653D4E">
      <w:pPr>
        <w:pStyle w:val="23"/>
        <w:spacing w:after="120"/>
      </w:pPr>
      <w:r>
        <w:rPr>
          <w:rFonts w:ascii="Consolas" w:hAnsi="Consolas"/>
          <w:sz w:val="21"/>
        </w:rPr>
        <w:t>resourceType</w:t>
      </w:r>
      <w:r>
        <w:rPr>
          <w:sz w:val="21"/>
        </w:rPr>
        <w:t xml:space="preserve"> — tells every downstream system which of the ~150 FHIR resource types this is, so it knows what fields to expect.</w:t>
      </w:r>
    </w:p>
    <w:p w14:paraId="25359305">
      <w:pPr>
        <w:pStyle w:val="23"/>
        <w:spacing w:after="120"/>
      </w:pPr>
      <w:r>
        <w:rPr>
          <w:rFonts w:ascii="Consolas" w:hAnsi="Consolas"/>
          <w:sz w:val="21"/>
        </w:rPr>
        <w:t>identifier</w:t>
      </w:r>
      <w:r>
        <w:rPr>
          <w:sz w:val="21"/>
        </w:rPr>
        <w:t xml:space="preserve"> — the hospital’s own patient number (MRN). Not the ID we’ll use once this is in OMOP — that gets assigned fresh.</w:t>
      </w:r>
    </w:p>
    <w:p w14:paraId="275404F9">
      <w:pPr>
        <w:pStyle w:val="4"/>
      </w:pPr>
      <w:r>
        <w:t>Condition — the diabetes diagnosis</w:t>
      </w:r>
    </w:p>
    <w:tbl>
      <w:tblPr>
        <w:tblStyle w:val="12"/>
        <w:tblW w:w="0" w:type="auto"/>
        <w:tblInd w:w="0" w:type="dxa"/>
        <w:tblLayout w:type="autofit"/>
        <w:tblCellMar>
          <w:top w:w="0" w:type="dxa"/>
          <w:left w:w="108" w:type="dxa"/>
          <w:bottom w:w="0" w:type="dxa"/>
          <w:right w:w="108" w:type="dxa"/>
        </w:tblCellMar>
      </w:tblPr>
      <w:tblGrid>
        <w:gridCol w:w="8640"/>
      </w:tblGrid>
      <w:tr w14:paraId="26FC2A5C">
        <w:tblPrEx>
          <w:tblCellMar>
            <w:top w:w="0" w:type="dxa"/>
            <w:left w:w="108" w:type="dxa"/>
            <w:bottom w:w="0" w:type="dxa"/>
            <w:right w:w="108" w:type="dxa"/>
          </w:tblCellMar>
        </w:tblPrEx>
        <w:tc>
          <w:tcPr>
            <w:tcW w:w="8640" w:type="dxa"/>
            <w:shd w:val="clear" w:color="auto" w:fill="F1EFEA"/>
          </w:tcPr>
          <w:p w14:paraId="674724A0">
            <w:pPr>
              <w:spacing w:after="0"/>
            </w:pPr>
            <w:r>
              <w:rPr>
                <w:rFonts w:ascii="Consolas" w:hAnsi="Consolas"/>
                <w:sz w:val="18"/>
              </w:rPr>
              <w:t>{</w:t>
            </w:r>
          </w:p>
          <w:p w14:paraId="2E99697D">
            <w:pPr>
              <w:spacing w:after="0"/>
            </w:pPr>
            <w:r>
              <w:rPr>
                <w:rFonts w:ascii="Consolas" w:hAnsi="Consolas"/>
                <w:sz w:val="18"/>
              </w:rPr>
              <w:t xml:space="preserve">  "resourceType": "Condition",</w:t>
            </w:r>
          </w:p>
          <w:p w14:paraId="0A028C48">
            <w:pPr>
              <w:spacing w:after="0"/>
            </w:pPr>
            <w:r>
              <w:rPr>
                <w:rFonts w:ascii="Consolas" w:hAnsi="Consolas"/>
                <w:sz w:val="18"/>
              </w:rPr>
              <w:t xml:space="preserve">  "id": "condition-4471",</w:t>
            </w:r>
          </w:p>
          <w:p w14:paraId="274D9675">
            <w:pPr>
              <w:spacing w:after="0"/>
            </w:pPr>
            <w:r>
              <w:rPr>
                <w:rFonts w:ascii="Consolas" w:hAnsi="Consolas"/>
                <w:sz w:val="18"/>
              </w:rPr>
              <w:t xml:space="preserve">  "subject": { "reference": "Patient/patient-88213" },</w:t>
            </w:r>
          </w:p>
          <w:p w14:paraId="1A4FC123">
            <w:pPr>
              <w:spacing w:after="0"/>
            </w:pPr>
            <w:r>
              <w:rPr>
                <w:rFonts w:ascii="Consolas" w:hAnsi="Consolas"/>
                <w:sz w:val="18"/>
              </w:rPr>
              <w:t xml:space="preserve">  "code": {</w:t>
            </w:r>
          </w:p>
          <w:p w14:paraId="57357EF0">
            <w:pPr>
              <w:spacing w:after="0"/>
            </w:pPr>
            <w:r>
              <w:rPr>
                <w:rFonts w:ascii="Consolas" w:hAnsi="Consolas"/>
                <w:sz w:val="18"/>
              </w:rPr>
              <w:t xml:space="preserve">    "coding": [</w:t>
            </w:r>
          </w:p>
          <w:p w14:paraId="5F7C1AC4">
            <w:pPr>
              <w:spacing w:after="0"/>
            </w:pPr>
            <w:r>
              <w:rPr>
                <w:rFonts w:ascii="Consolas" w:hAnsi="Consolas"/>
                <w:sz w:val="18"/>
              </w:rPr>
              <w:t xml:space="preserve">      { "system": "http://hl7.org/fhir/sid/icd-10", "code": "E11.9",</w:t>
            </w:r>
          </w:p>
          <w:p w14:paraId="1DAAEC8F">
            <w:pPr>
              <w:spacing w:after="0"/>
            </w:pPr>
            <w:r>
              <w:rPr>
                <w:rFonts w:ascii="Consolas" w:hAnsi="Consolas"/>
                <w:sz w:val="18"/>
              </w:rPr>
              <w:t xml:space="preserve">        "display": "Type 2 diabetes mellitus without complications" },</w:t>
            </w:r>
          </w:p>
          <w:p w14:paraId="47AE354D">
            <w:pPr>
              <w:spacing w:after="0"/>
            </w:pPr>
            <w:r>
              <w:rPr>
                <w:rFonts w:ascii="Consolas" w:hAnsi="Consolas"/>
                <w:sz w:val="18"/>
              </w:rPr>
              <w:t xml:space="preserve">      { "system": "http://snomed.info/sct", "code": "44054006",</w:t>
            </w:r>
          </w:p>
          <w:p w14:paraId="370D005E">
            <w:pPr>
              <w:spacing w:after="0"/>
            </w:pPr>
            <w:r>
              <w:rPr>
                <w:rFonts w:ascii="Consolas" w:hAnsi="Consolas"/>
                <w:sz w:val="18"/>
              </w:rPr>
              <w:t xml:space="preserve">        "display": "Type 2 diabetes mellitus" }</w:t>
            </w:r>
          </w:p>
          <w:p w14:paraId="5EF7CF2C">
            <w:pPr>
              <w:spacing w:after="0"/>
            </w:pPr>
            <w:r>
              <w:rPr>
                <w:rFonts w:ascii="Consolas" w:hAnsi="Consolas"/>
                <w:sz w:val="18"/>
              </w:rPr>
              <w:t xml:space="preserve">    ]</w:t>
            </w:r>
          </w:p>
          <w:p w14:paraId="6A25520B">
            <w:pPr>
              <w:spacing w:after="0"/>
            </w:pPr>
            <w:r>
              <w:rPr>
                <w:rFonts w:ascii="Consolas" w:hAnsi="Consolas"/>
                <w:sz w:val="18"/>
              </w:rPr>
              <w:t xml:space="preserve">  },</w:t>
            </w:r>
          </w:p>
          <w:p w14:paraId="7700222E">
            <w:pPr>
              <w:spacing w:after="0"/>
            </w:pPr>
            <w:r>
              <w:rPr>
                <w:rFonts w:ascii="Consolas" w:hAnsi="Consolas"/>
                <w:sz w:val="18"/>
              </w:rPr>
              <w:t xml:space="preserve">  "onsetDateTime": "2022-06-01",</w:t>
            </w:r>
          </w:p>
          <w:p w14:paraId="2A5D7A0B">
            <w:pPr>
              <w:spacing w:after="0"/>
            </w:pPr>
            <w:r>
              <w:rPr>
                <w:rFonts w:ascii="Consolas" w:hAnsi="Consolas"/>
                <w:sz w:val="18"/>
              </w:rPr>
              <w:t xml:space="preserve">  "recordedDate": "2022-06-03"</w:t>
            </w:r>
          </w:p>
          <w:p w14:paraId="14988006">
            <w:pPr>
              <w:spacing w:after="0"/>
            </w:pPr>
            <w:r>
              <w:rPr>
                <w:rFonts w:ascii="Consolas" w:hAnsi="Consolas"/>
                <w:sz w:val="18"/>
              </w:rPr>
              <w:t>}</w:t>
            </w:r>
          </w:p>
        </w:tc>
      </w:tr>
    </w:tbl>
    <w:p w14:paraId="74BBCA5B">
      <w:pPr>
        <w:spacing w:after="80"/>
      </w:pPr>
    </w:p>
    <w:p w14:paraId="0043DAA6">
      <w:pPr>
        <w:pStyle w:val="23"/>
        <w:spacing w:after="120"/>
      </w:pPr>
      <w:r>
        <w:rPr>
          <w:rFonts w:ascii="Consolas" w:hAnsi="Consolas"/>
          <w:sz w:val="21"/>
        </w:rPr>
        <w:t>subject.reference</w:t>
      </w:r>
      <w:r>
        <w:rPr>
          <w:sz w:val="21"/>
        </w:rPr>
        <w:t xml:space="preserve"> — how FHIR links records together, like a foreign key: “this Condition belongs to that Patient.”</w:t>
      </w:r>
    </w:p>
    <w:p w14:paraId="49B18E98">
      <w:pPr>
        <w:pStyle w:val="23"/>
        <w:spacing w:after="120"/>
      </w:pPr>
      <w:r>
        <w:rPr>
          <w:rFonts w:ascii="Consolas" w:hAnsi="Consolas"/>
          <w:sz w:val="21"/>
        </w:rPr>
        <w:t>code.coding</w:t>
      </w:r>
      <w:r>
        <w:rPr>
          <w:sz w:val="21"/>
        </w:rPr>
        <w:t xml:space="preserve"> is a </w:t>
      </w:r>
      <w:r>
        <w:rPr>
          <w:b/>
          <w:sz w:val="21"/>
        </w:rPr>
        <w:t>list</w:t>
      </w:r>
      <w:r>
        <w:rPr>
          <w:sz w:val="21"/>
        </w:rPr>
        <w:t>, on purpose — the same diagnosis is often recorded in two vocabularies at once: ICD-10 (what billing uses) and SNOMED (what clinical systems use). Both describe the same real-world fact.</w:t>
      </w:r>
    </w:p>
    <w:p w14:paraId="126AD0B4">
      <w:pPr>
        <w:pStyle w:val="23"/>
        <w:spacing w:after="120"/>
      </w:pPr>
      <w:r>
        <w:rPr>
          <w:rFonts w:ascii="Consolas" w:hAnsi="Consolas"/>
          <w:sz w:val="21"/>
        </w:rPr>
        <w:t>onsetDateTime</w:t>
      </w:r>
      <w:r>
        <w:rPr>
          <w:sz w:val="21"/>
        </w:rPr>
        <w:t xml:space="preserve"> vs </w:t>
      </w:r>
      <w:r>
        <w:rPr>
          <w:rFonts w:ascii="Consolas" w:hAnsi="Consolas"/>
          <w:sz w:val="21"/>
        </w:rPr>
        <w:t>recordedDate</w:t>
      </w:r>
      <w:r>
        <w:rPr>
          <w:sz w:val="21"/>
        </w:rPr>
        <w:t xml:space="preserve"> — when the disease actually started, versus when someone typed it into the system. Cohort rules that say “diagnosed before enrollment” care about the first one.</w:t>
      </w:r>
    </w:p>
    <w:p w14:paraId="7393D7CD">
      <w:pPr>
        <w:pStyle w:val="4"/>
      </w:pPr>
      <w:r>
        <w:t>Observation — the HbA1c result</w:t>
      </w:r>
    </w:p>
    <w:tbl>
      <w:tblPr>
        <w:tblStyle w:val="12"/>
        <w:tblW w:w="0" w:type="auto"/>
        <w:tblInd w:w="0" w:type="dxa"/>
        <w:tblLayout w:type="autofit"/>
        <w:tblCellMar>
          <w:top w:w="0" w:type="dxa"/>
          <w:left w:w="108" w:type="dxa"/>
          <w:bottom w:w="0" w:type="dxa"/>
          <w:right w:w="108" w:type="dxa"/>
        </w:tblCellMar>
      </w:tblPr>
      <w:tblGrid>
        <w:gridCol w:w="8640"/>
      </w:tblGrid>
      <w:tr w14:paraId="0981E37B">
        <w:tblPrEx>
          <w:tblCellMar>
            <w:top w:w="0" w:type="dxa"/>
            <w:left w:w="108" w:type="dxa"/>
            <w:bottom w:w="0" w:type="dxa"/>
            <w:right w:w="108" w:type="dxa"/>
          </w:tblCellMar>
        </w:tblPrEx>
        <w:tc>
          <w:tcPr>
            <w:tcW w:w="8640" w:type="dxa"/>
            <w:shd w:val="clear" w:color="auto" w:fill="F1EFEA"/>
          </w:tcPr>
          <w:p w14:paraId="1C48836E">
            <w:pPr>
              <w:spacing w:after="0"/>
            </w:pPr>
            <w:r>
              <w:rPr>
                <w:rFonts w:ascii="Consolas" w:hAnsi="Consolas"/>
                <w:sz w:val="18"/>
              </w:rPr>
              <w:t>{</w:t>
            </w:r>
          </w:p>
          <w:p w14:paraId="69BABE82">
            <w:pPr>
              <w:spacing w:after="0"/>
            </w:pPr>
            <w:r>
              <w:rPr>
                <w:rFonts w:ascii="Consolas" w:hAnsi="Consolas"/>
                <w:sz w:val="18"/>
              </w:rPr>
              <w:t xml:space="preserve">  "resourceType": "Observation",</w:t>
            </w:r>
          </w:p>
          <w:p w14:paraId="4C20760C">
            <w:pPr>
              <w:spacing w:after="0"/>
            </w:pPr>
            <w:r>
              <w:rPr>
                <w:rFonts w:ascii="Consolas" w:hAnsi="Consolas"/>
                <w:sz w:val="18"/>
              </w:rPr>
              <w:t xml:space="preserve">  "id": "obs-9981",</w:t>
            </w:r>
          </w:p>
          <w:p w14:paraId="7BBD4F94">
            <w:pPr>
              <w:spacing w:after="0"/>
            </w:pPr>
            <w:r>
              <w:rPr>
                <w:rFonts w:ascii="Consolas" w:hAnsi="Consolas"/>
                <w:sz w:val="18"/>
              </w:rPr>
              <w:t xml:space="preserve">  "subject": { "reference": "Patient/patient-88213" },</w:t>
            </w:r>
          </w:p>
          <w:p w14:paraId="678689AD">
            <w:pPr>
              <w:spacing w:after="0"/>
            </w:pPr>
            <w:r>
              <w:rPr>
                <w:rFonts w:ascii="Consolas" w:hAnsi="Consolas"/>
                <w:sz w:val="18"/>
              </w:rPr>
              <w:t xml:space="preserve">  "code": {</w:t>
            </w:r>
          </w:p>
          <w:p w14:paraId="442AF7DD">
            <w:pPr>
              <w:spacing w:after="0"/>
            </w:pPr>
            <w:r>
              <w:rPr>
                <w:rFonts w:ascii="Consolas" w:hAnsi="Consolas"/>
                <w:sz w:val="18"/>
              </w:rPr>
              <w:t xml:space="preserve">    "coding": [{ "system": "http://loinc.org", "code": "4548-4",</w:t>
            </w:r>
          </w:p>
          <w:p w14:paraId="38D6756A">
            <w:pPr>
              <w:spacing w:after="0"/>
            </w:pPr>
            <w:r>
              <w:rPr>
                <w:rFonts w:ascii="Consolas" w:hAnsi="Consolas"/>
                <w:sz w:val="18"/>
              </w:rPr>
              <w:t xml:space="preserve">      "display": "Hemoglobin A1c/Hemoglobin.total in Blood" }]</w:t>
            </w:r>
          </w:p>
          <w:p w14:paraId="2891A9BB">
            <w:pPr>
              <w:spacing w:after="0"/>
            </w:pPr>
            <w:r>
              <w:rPr>
                <w:rFonts w:ascii="Consolas" w:hAnsi="Consolas"/>
                <w:sz w:val="18"/>
              </w:rPr>
              <w:t xml:space="preserve">  },</w:t>
            </w:r>
          </w:p>
          <w:p w14:paraId="6633D4B3">
            <w:pPr>
              <w:spacing w:after="0"/>
            </w:pPr>
            <w:r>
              <w:rPr>
                <w:rFonts w:ascii="Consolas" w:hAnsi="Consolas"/>
                <w:sz w:val="18"/>
              </w:rPr>
              <w:t xml:space="preserve">  "effectiveDateTime": "2026-05-12",</w:t>
            </w:r>
          </w:p>
          <w:p w14:paraId="313ABB03">
            <w:pPr>
              <w:spacing w:after="0"/>
            </w:pPr>
            <w:r>
              <w:rPr>
                <w:rFonts w:ascii="Consolas" w:hAnsi="Consolas"/>
                <w:sz w:val="18"/>
              </w:rPr>
              <w:t xml:space="preserve">  "valueQuantity": { "value": 8.2, "unit": "%", "system": "http://unitsofmeasure.org", "code": "%" }</w:t>
            </w:r>
          </w:p>
          <w:p w14:paraId="4EFDAE8F">
            <w:pPr>
              <w:spacing w:after="0"/>
            </w:pPr>
            <w:r>
              <w:rPr>
                <w:rFonts w:ascii="Consolas" w:hAnsi="Consolas"/>
                <w:sz w:val="18"/>
              </w:rPr>
              <w:t>}</w:t>
            </w:r>
          </w:p>
        </w:tc>
      </w:tr>
    </w:tbl>
    <w:p w14:paraId="110D2AAE">
      <w:pPr>
        <w:spacing w:after="80"/>
      </w:pPr>
    </w:p>
    <w:p w14:paraId="3000E19E">
      <w:pPr>
        <w:pStyle w:val="23"/>
        <w:spacing w:after="120"/>
      </w:pPr>
      <w:r>
        <w:rPr>
          <w:sz w:val="21"/>
        </w:rPr>
        <w:t xml:space="preserve">Lab results use </w:t>
      </w:r>
      <w:r>
        <w:rPr>
          <w:b/>
          <w:sz w:val="21"/>
        </w:rPr>
        <w:t>LOINC</w:t>
      </w:r>
      <w:r>
        <w:rPr>
          <w:sz w:val="21"/>
        </w:rPr>
        <w:t xml:space="preserve"> codes, not ICD-10 or SNOMED — a third vocabulary, specifically for tests and measurements.</w:t>
      </w:r>
    </w:p>
    <w:p w14:paraId="1435DDF5">
      <w:pPr>
        <w:pStyle w:val="23"/>
        <w:spacing w:after="120"/>
      </w:pPr>
      <w:r>
        <w:rPr>
          <w:rFonts w:ascii="Consolas" w:hAnsi="Consolas"/>
          <w:sz w:val="21"/>
        </w:rPr>
        <w:t>valueQuantity</w:t>
      </w:r>
      <w:r>
        <w:rPr>
          <w:sz w:val="21"/>
        </w:rPr>
        <w:t xml:space="preserve"> carries the number *and* its unit together — never assume a bare number’s unit; “8.2” means nothing without “%” attached.</w:t>
      </w:r>
    </w:p>
    <w:p w14:paraId="5BB56EB1">
      <w:pPr>
        <w:pStyle w:val="4"/>
      </w:pPr>
      <w:r>
        <w:t>MedicationStatement — the Metformin</w:t>
      </w:r>
    </w:p>
    <w:tbl>
      <w:tblPr>
        <w:tblStyle w:val="12"/>
        <w:tblW w:w="0" w:type="auto"/>
        <w:tblInd w:w="0" w:type="dxa"/>
        <w:tblLayout w:type="autofit"/>
        <w:tblCellMar>
          <w:top w:w="0" w:type="dxa"/>
          <w:left w:w="108" w:type="dxa"/>
          <w:bottom w:w="0" w:type="dxa"/>
          <w:right w:w="108" w:type="dxa"/>
        </w:tblCellMar>
      </w:tblPr>
      <w:tblGrid>
        <w:gridCol w:w="8640"/>
      </w:tblGrid>
      <w:tr w14:paraId="72A101C9">
        <w:tblPrEx>
          <w:tblCellMar>
            <w:top w:w="0" w:type="dxa"/>
            <w:left w:w="108" w:type="dxa"/>
            <w:bottom w:w="0" w:type="dxa"/>
            <w:right w:w="108" w:type="dxa"/>
          </w:tblCellMar>
        </w:tblPrEx>
        <w:tc>
          <w:tcPr>
            <w:tcW w:w="8640" w:type="dxa"/>
            <w:shd w:val="clear" w:color="auto" w:fill="F1EFEA"/>
          </w:tcPr>
          <w:p w14:paraId="0B81AA69">
            <w:pPr>
              <w:spacing w:after="0"/>
            </w:pPr>
            <w:r>
              <w:rPr>
                <w:rFonts w:ascii="Consolas" w:hAnsi="Consolas"/>
                <w:sz w:val="18"/>
              </w:rPr>
              <w:t>{</w:t>
            </w:r>
          </w:p>
          <w:p w14:paraId="70A97C3D">
            <w:pPr>
              <w:spacing w:after="0"/>
            </w:pPr>
            <w:r>
              <w:rPr>
                <w:rFonts w:ascii="Consolas" w:hAnsi="Consolas"/>
                <w:sz w:val="18"/>
              </w:rPr>
              <w:t xml:space="preserve">  "resourceType": "MedicationStatement",</w:t>
            </w:r>
          </w:p>
          <w:p w14:paraId="24AE5FBB">
            <w:pPr>
              <w:spacing w:after="0"/>
            </w:pPr>
            <w:r>
              <w:rPr>
                <w:rFonts w:ascii="Consolas" w:hAnsi="Consolas"/>
                <w:sz w:val="18"/>
              </w:rPr>
              <w:t xml:space="preserve">  "id": "medstmt-3321",</w:t>
            </w:r>
          </w:p>
          <w:p w14:paraId="57C7C565">
            <w:pPr>
              <w:spacing w:after="0"/>
            </w:pPr>
            <w:r>
              <w:rPr>
                <w:rFonts w:ascii="Consolas" w:hAnsi="Consolas"/>
                <w:sz w:val="18"/>
              </w:rPr>
              <w:t xml:space="preserve">  "subject": { "reference": "Patient/patient-88213" },</w:t>
            </w:r>
          </w:p>
          <w:p w14:paraId="5BA85D6C">
            <w:pPr>
              <w:spacing w:after="0"/>
            </w:pPr>
            <w:r>
              <w:rPr>
                <w:rFonts w:ascii="Consolas" w:hAnsi="Consolas"/>
                <w:sz w:val="18"/>
              </w:rPr>
              <w:t xml:space="preserve">  "medicationCodeableConcept": {</w:t>
            </w:r>
          </w:p>
          <w:p w14:paraId="387C1481">
            <w:pPr>
              <w:spacing w:after="0"/>
            </w:pPr>
            <w:r>
              <w:rPr>
                <w:rFonts w:ascii="Consolas" w:hAnsi="Consolas"/>
                <w:sz w:val="18"/>
              </w:rPr>
              <w:t xml:space="preserve">    "coding": [{ "system": "http://www.nlm.nih.gov/research/umls/rxnorm",</w:t>
            </w:r>
          </w:p>
          <w:p w14:paraId="16E9FC8A">
            <w:pPr>
              <w:spacing w:after="0"/>
            </w:pPr>
            <w:r>
              <w:rPr>
                <w:rFonts w:ascii="Consolas" w:hAnsi="Consolas"/>
                <w:sz w:val="18"/>
              </w:rPr>
              <w:t xml:space="preserve">      "code": "6809", "display": "Metformin" }]</w:t>
            </w:r>
          </w:p>
          <w:p w14:paraId="13B17111">
            <w:pPr>
              <w:spacing w:after="0"/>
            </w:pPr>
            <w:r>
              <w:rPr>
                <w:rFonts w:ascii="Consolas" w:hAnsi="Consolas"/>
                <w:sz w:val="18"/>
              </w:rPr>
              <w:t xml:space="preserve">  },</w:t>
            </w:r>
          </w:p>
          <w:p w14:paraId="5A0E9E88">
            <w:pPr>
              <w:spacing w:after="0"/>
            </w:pPr>
            <w:r>
              <w:rPr>
                <w:rFonts w:ascii="Consolas" w:hAnsi="Consolas"/>
                <w:sz w:val="18"/>
              </w:rPr>
              <w:t xml:space="preserve">  "status": "active",</w:t>
            </w:r>
          </w:p>
          <w:p w14:paraId="199F73E0">
            <w:pPr>
              <w:spacing w:after="0"/>
            </w:pPr>
            <w:r>
              <w:rPr>
                <w:rFonts w:ascii="Consolas" w:hAnsi="Consolas"/>
                <w:sz w:val="18"/>
              </w:rPr>
              <w:t xml:space="preserve">  "effectivePeriod": { "start": "2022-06-10" }</w:t>
            </w:r>
          </w:p>
          <w:p w14:paraId="1BA4DC99">
            <w:pPr>
              <w:spacing w:after="0"/>
            </w:pPr>
            <w:r>
              <w:rPr>
                <w:rFonts w:ascii="Consolas" w:hAnsi="Consolas"/>
                <w:sz w:val="18"/>
              </w:rPr>
              <w:t>}</w:t>
            </w:r>
          </w:p>
        </w:tc>
      </w:tr>
    </w:tbl>
    <w:p w14:paraId="44361B83">
      <w:pPr>
        <w:spacing w:after="80"/>
      </w:pPr>
    </w:p>
    <w:p w14:paraId="2E9A7913">
      <w:pPr>
        <w:pStyle w:val="23"/>
        <w:spacing w:after="120"/>
      </w:pPr>
      <w:r>
        <w:rPr>
          <w:sz w:val="21"/>
        </w:rPr>
        <w:t xml:space="preserve">Medications use </w:t>
      </w:r>
      <w:r>
        <w:rPr>
          <w:b/>
          <w:sz w:val="21"/>
        </w:rPr>
        <w:t>RxNorm</w:t>
      </w:r>
      <w:r>
        <w:rPr>
          <w:sz w:val="21"/>
        </w:rPr>
        <w:t xml:space="preserve"> — yet another vocabulary, specific to drugs.</w:t>
      </w:r>
    </w:p>
    <w:p w14:paraId="213A362A">
      <w:pPr>
        <w:pStyle w:val="23"/>
        <w:spacing w:after="120"/>
      </w:pPr>
      <w:r>
        <w:rPr>
          <w:rFonts w:ascii="Consolas" w:hAnsi="Consolas"/>
          <w:sz w:val="21"/>
        </w:rPr>
        <w:t>effectivePeriod</w:t>
      </w:r>
      <w:r>
        <w:rPr>
          <w:sz w:val="21"/>
        </w:rPr>
        <w:t xml:space="preserve"> is a range, not a single date — exposure has a start (and sometimes an end), which matters for rules like “on Metformin for the last 12 months.”</w:t>
      </w:r>
    </w:p>
    <w:p w14:paraId="6265A7E0">
      <w:pPr>
        <w:spacing w:before="120" w:after="280"/>
      </w:pPr>
      <w:r>
        <w:rPr>
          <w:b/>
          <w:color w:val="A8672E"/>
          <w:sz w:val="20"/>
        </w:rPr>
        <w:t xml:space="preserve">Notice the pattern: </w:t>
      </w:r>
      <w:r>
        <w:rPr>
          <w:sz w:val="20"/>
        </w:rPr>
        <w:t>four resources, four different vocabularies (ICD-10/SNOMED, SNOMED, LOINC, RxNorm) — all just to describe one simple clinical picture. This is exactly why the vocabulary-mapping step in the Proposed Approach section is the hardest, most important part of the whole pipeline: nothing here is naturally comparable across hospitals until it’s translated.</w:t>
      </w:r>
    </w:p>
    <w:p w14:paraId="61087AC7">
      <w:pPr>
        <w:pStyle w:val="4"/>
      </w:pPr>
      <w:r>
        <w:t>What happens to this JSON, step by step</w:t>
      </w:r>
    </w:p>
    <w:p w14:paraId="242DEBC6">
      <w:pPr>
        <w:pStyle w:val="29"/>
        <w:spacing w:after="160"/>
      </w:pPr>
      <w:r>
        <w:rPr>
          <w:b/>
          <w:sz w:val="21"/>
        </w:rPr>
        <w:t>Received</w:t>
      </w:r>
      <w:r>
        <w:rPr>
          <w:sz w:val="21"/>
        </w:rPr>
        <w:t xml:space="preserve"> — the pull script gets a Bundle back from the hospital’s FHIR API containing all four resources (and more) for records changed since the last check.</w:t>
      </w:r>
    </w:p>
    <w:p w14:paraId="2B731FFE">
      <w:pPr>
        <w:pStyle w:val="29"/>
        <w:spacing w:after="160"/>
      </w:pPr>
      <w:r>
        <w:rPr>
          <w:b/>
          <w:sz w:val="21"/>
        </w:rPr>
        <w:t>Validated</w:t>
      </w:r>
      <w:r>
        <w:rPr>
          <w:sz w:val="21"/>
        </w:rPr>
        <w:t xml:space="preserve"> — a quick sanity check: is this valid JSON, does each resource have the fields we require (</w:t>
      </w:r>
      <w:r>
        <w:rPr>
          <w:rFonts w:ascii="Consolas" w:hAnsi="Consolas"/>
          <w:sz w:val="21"/>
        </w:rPr>
        <w:t>resourceType</w:t>
      </w:r>
      <w:r>
        <w:rPr>
          <w:sz w:val="21"/>
        </w:rPr>
        <w:t xml:space="preserve">, </w:t>
      </w:r>
      <w:r>
        <w:rPr>
          <w:rFonts w:ascii="Consolas" w:hAnsi="Consolas"/>
          <w:sz w:val="21"/>
        </w:rPr>
        <w:t>subject</w:t>
      </w:r>
      <w:r>
        <w:rPr>
          <w:sz w:val="21"/>
        </w:rPr>
        <w:t>, a code)? Anything malformed is quarantined, not silently dropped or allowed to crash the run.</w:t>
      </w:r>
    </w:p>
    <w:p w14:paraId="5C28CF15">
      <w:pPr>
        <w:pStyle w:val="29"/>
        <w:spacing w:after="160"/>
      </w:pPr>
      <w:r>
        <w:rPr>
          <w:b/>
          <w:sz w:val="21"/>
        </w:rPr>
        <w:t>Stored raw</w:t>
      </w:r>
      <w:r>
        <w:rPr>
          <w:sz w:val="21"/>
        </w:rPr>
        <w:t xml:space="preserve"> — each resource is written into an Iceberg snapshot exactly as received, byte for byte. This exact JSON is now permanently retrievable, forever, regardless of what happens next.</w:t>
      </w:r>
    </w:p>
    <w:p w14:paraId="2748D9C1">
      <w:pPr>
        <w:pStyle w:val="29"/>
        <w:spacing w:after="160"/>
      </w:pPr>
      <w:r>
        <w:rPr>
          <w:b/>
          <w:sz w:val="21"/>
        </w:rPr>
        <w:t>Parsed</w:t>
      </w:r>
      <w:r>
        <w:rPr>
          <w:sz w:val="21"/>
        </w:rPr>
        <w:t xml:space="preserve"> — a Python script “unwraps” the nested JSON into flat rows: for the Condition above, that becomes one row with columns like </w:t>
      </w:r>
      <w:r>
        <w:rPr>
          <w:rFonts w:ascii="Consolas" w:hAnsi="Consolas"/>
          <w:sz w:val="21"/>
        </w:rPr>
        <w:t>patient_id, code_system, code_value, onset_date</w:t>
      </w:r>
      <w:r>
        <w:rPr>
          <w:sz w:val="21"/>
        </w:rPr>
        <w:t>. This is where deeply nested structure becomes something a database can index and join.</w:t>
      </w:r>
    </w:p>
    <w:p w14:paraId="36D333C4">
      <w:pPr>
        <w:pStyle w:val="29"/>
        <w:spacing w:after="160"/>
      </w:pPr>
      <w:r>
        <w:rPr>
          <w:b/>
          <w:sz w:val="21"/>
        </w:rPr>
        <w:t>Vocabulary-mapped</w:t>
      </w:r>
      <w:r>
        <w:rPr>
          <w:sz w:val="21"/>
        </w:rPr>
        <w:t xml:space="preserve"> — the </w:t>
      </w:r>
      <w:r>
        <w:rPr>
          <w:rFonts w:ascii="Consolas" w:hAnsi="Consolas"/>
          <w:sz w:val="21"/>
        </w:rPr>
        <w:t>(code_system, code_value)</w:t>
      </w:r>
      <w:r>
        <w:rPr>
          <w:sz w:val="21"/>
        </w:rPr>
        <w:t xml:space="preserve"> pair — e.g. </w:t>
      </w:r>
      <w:r>
        <w:rPr>
          <w:rFonts w:ascii="Consolas" w:hAnsi="Consolas"/>
          <w:sz w:val="21"/>
        </w:rPr>
        <w:t>("ICD-10", "E11.9")</w:t>
      </w:r>
      <w:r>
        <w:rPr>
          <w:sz w:val="21"/>
        </w:rPr>
        <w:t xml:space="preserve"> — is looked up in the OHDSI vocabulary tables to find its OMOP standard concept (</w:t>
      </w:r>
      <w:r>
        <w:rPr>
          <w:rFonts w:ascii="Consolas" w:hAnsi="Consolas"/>
          <w:sz w:val="21"/>
        </w:rPr>
        <w:t>201826</w:t>
      </w:r>
      <w:r>
        <w:rPr>
          <w:sz w:val="21"/>
        </w:rPr>
        <w:t>, Type 2 diabetes mellitus). If a code has no match, that’s logged and flagged, not silently skipped — this is the exact fix for the “patient can vanish” concern above.</w:t>
      </w:r>
    </w:p>
    <w:p w14:paraId="3BE8D8E4">
      <w:pPr>
        <w:pStyle w:val="29"/>
        <w:spacing w:after="160"/>
      </w:pPr>
      <w:r>
        <w:rPr>
          <w:b/>
          <w:sz w:val="21"/>
        </w:rPr>
        <w:t>Loaded into OMOP</w:t>
      </w:r>
      <w:r>
        <w:rPr>
          <w:sz w:val="21"/>
        </w:rPr>
        <w:t xml:space="preserve"> — the mapped, flattened row becomes a real row in </w:t>
      </w:r>
      <w:r>
        <w:rPr>
          <w:rFonts w:ascii="Consolas" w:hAnsi="Consolas"/>
          <w:sz w:val="21"/>
        </w:rPr>
        <w:t>CONDITION_OCCURRENCE</w:t>
      </w:r>
      <w:r>
        <w:rPr>
          <w:sz w:val="21"/>
        </w:rPr>
        <w:t xml:space="preserve">: </w:t>
      </w:r>
      <w:r>
        <w:rPr>
          <w:rFonts w:ascii="Consolas" w:hAnsi="Consolas"/>
          <w:sz w:val="21"/>
        </w:rPr>
        <w:t>condition_concept_id</w:t>
      </w:r>
      <w:r>
        <w:rPr>
          <w:sz w:val="21"/>
        </w:rPr>
        <w:t xml:space="preserve"> holds the standard concept, </w:t>
      </w:r>
      <w:r>
        <w:rPr>
          <w:rFonts w:ascii="Consolas" w:hAnsi="Consolas"/>
          <w:sz w:val="21"/>
        </w:rPr>
        <w:t>condition_source_value</w:t>
      </w:r>
      <w:r>
        <w:rPr>
          <w:sz w:val="21"/>
        </w:rPr>
        <w:t xml:space="preserve"> keeps the original “E11.9” text for reference, and </w:t>
      </w:r>
      <w:r>
        <w:rPr>
          <w:rFonts w:ascii="Consolas" w:hAnsi="Consolas"/>
          <w:sz w:val="21"/>
        </w:rPr>
        <w:t>person_id</w:t>
      </w:r>
      <w:r>
        <w:rPr>
          <w:sz w:val="21"/>
        </w:rPr>
        <w:t xml:space="preserve"> ties it to this patient’s other data.</w:t>
      </w:r>
    </w:p>
    <w:p w14:paraId="433471AC">
      <w:pPr>
        <w:pStyle w:val="29"/>
        <w:spacing w:after="160"/>
      </w:pPr>
      <w:r>
        <w:rPr>
          <w:b/>
          <w:sz w:val="21"/>
        </w:rPr>
        <w:t>Queryable</w:t>
      </w:r>
      <w:r>
        <w:rPr>
          <w:sz w:val="21"/>
        </w:rPr>
        <w:t xml:space="preserve"> — from here it’s just an ordinary row in an ordinary SQL table, joinable with every other patient’s data from every other hospital the exact same way. This is the payoff for everything above it.</w:t>
      </w:r>
    </w:p>
    <w:p w14:paraId="330D71AF">
      <w:pPr>
        <w:pBdr>
          <w:bottom w:val="single" w:color="CBD0C6" w:sz="6" w:space="1"/>
        </w:pBdr>
        <w:spacing w:before="80" w:after="80"/>
      </w:pPr>
    </w:p>
    <w:p w14:paraId="2251556D">
      <w:pPr>
        <w:rPr>
          <w:rFonts w:hint="default"/>
          <w:lang w:val="en-US"/>
        </w:rPr>
      </w:pP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3B619F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color w:val="1B211E"/>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B211E"/>
      <w:sz w:val="44"/>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A8672E"/>
      <w:sz w:val="32"/>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1B211E"/>
      <w:sz w:val="25"/>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2094</Words>
  <Characters>11609</Characters>
  <Lines>0</Lines>
  <Paragraphs>0</Paragraphs>
  <TotalTime>1</TotalTime>
  <ScaleCrop>false</ScaleCrop>
  <LinksUpToDate>false</LinksUpToDate>
  <CharactersWithSpaces>13958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admins2</cp:lastModifiedBy>
  <dcterms:modified xsi:type="dcterms:W3CDTF">2026-09-02T13:07:14Z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eyJoZGlkIjoiNDUyYzEzYWEzZjFkYTc1MWExOWRmNzllZjJlY2UwYjQifQ==</vt:lpwstr>
  </property>
  <property fmtid="{D5CDD505-2E9C-101B-9397-08002B2CF9AE}" pid="3" name="KSOProductBuildVer">
    <vt:lpwstr>1033-12.1.0.28485</vt:lpwstr>
  </property>
  <property fmtid="{D5CDD505-2E9C-101B-9397-08002B2CF9AE}" pid="4" name="ICV">
    <vt:lpwstr>6C2D02AE731C470699CA595AD754130C_12</vt:lpwstr>
  </property>
</Properties>
</file>