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77285" w14:textId="77777777" w:rsidR="00FA49AD" w:rsidRPr="002B5896" w:rsidRDefault="00FA49AD" w:rsidP="00E118EC">
      <w:pPr>
        <w:pStyle w:val="Heading2"/>
        <w:rPr>
          <w:rFonts w:ascii="Times New Roman" w:hAnsi="Times New Roman" w:cs="Times New Roman"/>
          <w:highlight w:val="red"/>
          <w:lang w:val="en-GB"/>
        </w:rPr>
      </w:pPr>
      <w:commentRangeStart w:id="0"/>
      <w:r w:rsidRPr="002B5896">
        <w:rPr>
          <w:highlight w:val="red"/>
          <w:lang w:val="en-GB"/>
        </w:rPr>
        <w:t>Court of Criminal Appeal</w:t>
      </w:r>
      <w:r w:rsidRPr="002B5896">
        <w:rPr>
          <w:rFonts w:ascii="Times New Roman" w:hAnsi="Times New Roman" w:cs="Times New Roman"/>
          <w:highlight w:val="red"/>
          <w:lang w:val="en-GB"/>
        </w:rPr>
        <w:t xml:space="preserve"> </w:t>
      </w:r>
      <w:r w:rsidRPr="002B5896">
        <w:rPr>
          <w:highlight w:val="red"/>
          <w:lang w:val="en-GB"/>
        </w:rPr>
        <w:t>Supreme Court</w:t>
      </w:r>
    </w:p>
    <w:p w14:paraId="5DE47554" w14:textId="43114A22" w:rsidR="006C7785" w:rsidRDefault="00FA49AD" w:rsidP="00E118EC">
      <w:pPr>
        <w:pStyle w:val="Heading2"/>
        <w:rPr>
          <w:rFonts w:ascii="Times New Roman" w:hAnsi="Times New Roman" w:cs="Times New Roman"/>
          <w:lang w:val="en-GB"/>
        </w:rPr>
      </w:pPr>
      <w:r w:rsidRPr="002B5896">
        <w:rPr>
          <w:highlight w:val="red"/>
          <w:lang w:val="en-GB"/>
        </w:rPr>
        <w:t>New South Wales</w:t>
      </w:r>
      <w:commentRangeEnd w:id="0"/>
      <w:r w:rsidR="002B5896" w:rsidRPr="002B5896">
        <w:rPr>
          <w:rStyle w:val="CommentReference"/>
          <w:rFonts w:asciiTheme="minorHAnsi" w:eastAsiaTheme="minorEastAsia" w:hAnsiTheme="minorHAnsi" w:cstheme="minorBidi"/>
          <w:color w:val="auto"/>
          <w:highlight w:val="red"/>
        </w:rPr>
        <w:commentReference w:id="0"/>
      </w:r>
    </w:p>
    <w:p w14:paraId="20761087"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p>
    <w:tbl>
      <w:tblPr>
        <w:tblW w:w="5001" w:type="pct"/>
        <w:tblBorders>
          <w:top w:val="none" w:sz="6" w:space="0" w:color="auto"/>
          <w:left w:val="none" w:sz="6" w:space="0" w:color="auto"/>
          <w:right w:val="none" w:sz="6" w:space="0" w:color="auto"/>
        </w:tblBorders>
        <w:tblLayout w:type="fixed"/>
        <w:tblLook w:val="0000" w:firstRow="0" w:lastRow="0" w:firstColumn="0" w:lastColumn="0" w:noHBand="0" w:noVBand="0"/>
      </w:tblPr>
      <w:tblGrid>
        <w:gridCol w:w="2648"/>
        <w:gridCol w:w="6354"/>
      </w:tblGrid>
      <w:tr w:rsidR="00E6662B" w14:paraId="2B0D5ECE" w14:textId="77777777" w:rsidTr="00541ADE">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6C64CBEE" w14:textId="77777777" w:rsidR="006C7785" w:rsidRDefault="006C7785">
            <w:pPr>
              <w:widowControl w:val="0"/>
              <w:autoSpaceDE w:val="0"/>
              <w:autoSpaceDN w:val="0"/>
              <w:adjustRightInd w:val="0"/>
              <w:spacing w:after="200" w:line="276" w:lineRule="auto"/>
              <w:ind w:right="-6"/>
              <w:rPr>
                <w:rFonts w:ascii="Arial" w:hAnsi="Arial" w:cs="Arial"/>
                <w:kern w:val="0"/>
                <w:lang w:val="en-GB"/>
              </w:rPr>
            </w:pPr>
            <w:r>
              <w:rPr>
                <w:rFonts w:ascii="Arial" w:hAnsi="Arial" w:cs="Arial"/>
                <w:kern w:val="0"/>
                <w:lang w:val="en-GB"/>
              </w:rPr>
              <w:t xml:space="preserve">Case Name: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1F04ED6"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Luchetti v R</w:t>
            </w:r>
          </w:p>
        </w:tc>
      </w:tr>
      <w:tr w:rsidR="00E6662B" w14:paraId="0703847C"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3AFAD070" w14:textId="77777777" w:rsidR="006C7785" w:rsidRDefault="006C7785">
            <w:pPr>
              <w:widowControl w:val="0"/>
              <w:autoSpaceDE w:val="0"/>
              <w:autoSpaceDN w:val="0"/>
              <w:adjustRightInd w:val="0"/>
              <w:spacing w:after="200" w:line="276" w:lineRule="auto"/>
              <w:ind w:right="-6"/>
              <w:rPr>
                <w:rFonts w:ascii="Arial" w:hAnsi="Arial" w:cs="Arial"/>
                <w:kern w:val="0"/>
                <w:lang w:val="en-GB"/>
              </w:rPr>
            </w:pPr>
            <w:commentRangeStart w:id="1"/>
            <w:r>
              <w:rPr>
                <w:rFonts w:ascii="Arial" w:hAnsi="Arial" w:cs="Arial"/>
                <w:kern w:val="0"/>
                <w:lang w:val="en-GB"/>
              </w:rPr>
              <w:t xml:space="preserve">Medium Neutral Citation: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31B3D17" w14:textId="77777777" w:rsidR="006C7785" w:rsidRPr="002B5896" w:rsidRDefault="006C7785">
            <w:pPr>
              <w:widowControl w:val="0"/>
              <w:autoSpaceDE w:val="0"/>
              <w:autoSpaceDN w:val="0"/>
              <w:adjustRightInd w:val="0"/>
              <w:spacing w:after="200" w:line="276" w:lineRule="auto"/>
              <w:ind w:right="-6"/>
              <w:rPr>
                <w:rFonts w:ascii="Times New Roman" w:hAnsi="Times New Roman" w:cs="Times New Roman"/>
                <w:kern w:val="0"/>
                <w:highlight w:val="blue"/>
                <w:lang w:val="en-GB"/>
              </w:rPr>
            </w:pPr>
            <w:r w:rsidRPr="002B5896">
              <w:rPr>
                <w:rFonts w:ascii="Arial" w:hAnsi="Arial" w:cs="Arial"/>
                <w:kern w:val="0"/>
                <w:highlight w:val="blue"/>
                <w:lang w:val="en-GB"/>
              </w:rPr>
              <w:t>[2025] NSWCCA 222</w:t>
            </w:r>
            <w:commentRangeEnd w:id="1"/>
            <w:r w:rsidR="002B5896" w:rsidRPr="002B5896">
              <w:rPr>
                <w:rStyle w:val="CommentReference"/>
                <w:highlight w:val="blue"/>
              </w:rPr>
              <w:commentReference w:id="1"/>
            </w:r>
          </w:p>
        </w:tc>
      </w:tr>
      <w:tr w:rsidR="00E6662B" w14:paraId="3DD37EF1"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2CFE3674" w14:textId="77777777" w:rsidR="006C7785" w:rsidRDefault="006C7785">
            <w:pPr>
              <w:widowControl w:val="0"/>
              <w:autoSpaceDE w:val="0"/>
              <w:autoSpaceDN w:val="0"/>
              <w:adjustRightInd w:val="0"/>
              <w:spacing w:after="200" w:line="276" w:lineRule="auto"/>
              <w:ind w:right="-6"/>
              <w:rPr>
                <w:rFonts w:ascii="Arial" w:hAnsi="Arial" w:cs="Arial"/>
                <w:kern w:val="0"/>
                <w:lang w:val="en-GB"/>
              </w:rPr>
            </w:pPr>
            <w:r>
              <w:rPr>
                <w:rFonts w:ascii="Arial" w:hAnsi="Arial" w:cs="Arial"/>
                <w:kern w:val="0"/>
                <w:lang w:val="en-GB"/>
              </w:rPr>
              <w:t xml:space="preserve">Hearing Date(s):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2F7BDCD4"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8 October 2025</w:t>
            </w:r>
          </w:p>
        </w:tc>
      </w:tr>
      <w:tr w:rsidR="00E6662B" w14:paraId="79E539A2"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5B9B9CA" w14:textId="77777777" w:rsidR="006C7785" w:rsidRDefault="006C7785">
            <w:pPr>
              <w:widowControl w:val="0"/>
              <w:autoSpaceDE w:val="0"/>
              <w:autoSpaceDN w:val="0"/>
              <w:adjustRightInd w:val="0"/>
              <w:spacing w:after="200" w:line="276" w:lineRule="auto"/>
              <w:ind w:right="-6"/>
              <w:rPr>
                <w:rFonts w:ascii="Arial" w:hAnsi="Arial" w:cs="Arial"/>
                <w:kern w:val="0"/>
                <w:lang w:val="en-GB"/>
              </w:rPr>
            </w:pPr>
            <w:r>
              <w:rPr>
                <w:rFonts w:ascii="Arial" w:hAnsi="Arial" w:cs="Arial"/>
                <w:kern w:val="0"/>
                <w:lang w:val="en-GB"/>
              </w:rPr>
              <w:t>Date of Orders:</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1197D34"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8 October 2025</w:t>
            </w:r>
          </w:p>
        </w:tc>
      </w:tr>
      <w:tr w:rsidR="00E6662B" w14:paraId="3A7A78D6"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69E104E5"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Decision Date: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885A792"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17 December 2025</w:t>
            </w:r>
          </w:p>
        </w:tc>
      </w:tr>
      <w:tr w:rsidR="00E6662B" w14:paraId="6107444B"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077A79B2"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Before: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009B4DE0" w14:textId="77777777" w:rsidR="006C7785" w:rsidRPr="002B5896" w:rsidRDefault="006C7785">
            <w:pPr>
              <w:widowControl w:val="0"/>
              <w:autoSpaceDE w:val="0"/>
              <w:autoSpaceDN w:val="0"/>
              <w:adjustRightInd w:val="0"/>
              <w:spacing w:after="200" w:line="276" w:lineRule="auto"/>
              <w:ind w:right="-6"/>
              <w:rPr>
                <w:rFonts w:ascii="Times New Roman" w:hAnsi="Times New Roman" w:cs="Times New Roman"/>
                <w:kern w:val="0"/>
                <w:highlight w:val="red"/>
                <w:lang w:val="en-GB"/>
              </w:rPr>
            </w:pPr>
            <w:commentRangeStart w:id="2"/>
            <w:r w:rsidRPr="002B5896">
              <w:rPr>
                <w:rFonts w:ascii="Arial" w:hAnsi="Arial" w:cs="Arial"/>
                <w:kern w:val="0"/>
                <w:highlight w:val="red"/>
                <w:lang w:val="en-GB"/>
              </w:rPr>
              <w:t>Mitchelmore JA at [1]</w:t>
            </w:r>
            <w:r w:rsidRPr="002B5896">
              <w:rPr>
                <w:rFonts w:ascii="MS Gothic" w:eastAsia="MS Gothic" w:hAnsi="MS Gothic" w:cs="MS Gothic" w:hint="eastAsia"/>
                <w:kern w:val="0"/>
                <w:highlight w:val="red"/>
                <w:lang w:val="en-GB"/>
              </w:rPr>
              <w:t> </w:t>
            </w:r>
            <w:r w:rsidRPr="002B5896">
              <w:rPr>
                <w:rFonts w:ascii="Arial" w:hAnsi="Arial" w:cs="Arial"/>
                <w:kern w:val="0"/>
                <w:highlight w:val="red"/>
                <w:lang w:val="en-GB"/>
              </w:rPr>
              <w:t>Kirk JA at [2]</w:t>
            </w:r>
            <w:r w:rsidRPr="002B5896">
              <w:rPr>
                <w:rFonts w:ascii="MS Gothic" w:eastAsia="MS Gothic" w:hAnsi="MS Gothic" w:cs="MS Gothic" w:hint="eastAsia"/>
                <w:kern w:val="0"/>
                <w:highlight w:val="red"/>
                <w:lang w:val="en-GB"/>
              </w:rPr>
              <w:t> </w:t>
            </w:r>
            <w:r w:rsidRPr="002B5896">
              <w:rPr>
                <w:rFonts w:ascii="Arial" w:hAnsi="Arial" w:cs="Arial"/>
                <w:kern w:val="0"/>
                <w:highlight w:val="red"/>
                <w:lang w:val="en-GB"/>
              </w:rPr>
              <w:t>Rigg J at [3]</w:t>
            </w:r>
            <w:commentRangeEnd w:id="2"/>
            <w:r w:rsidR="002B5896" w:rsidRPr="002B5896">
              <w:rPr>
                <w:rStyle w:val="CommentReference"/>
                <w:highlight w:val="red"/>
              </w:rPr>
              <w:commentReference w:id="2"/>
            </w:r>
          </w:p>
        </w:tc>
      </w:tr>
      <w:tr w:rsidR="00E6662B" w14:paraId="33AC7E83"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6ED3DABE"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Decision: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507BAD19" w14:textId="23FD3C6D" w:rsidR="006C7785" w:rsidRPr="002B5896" w:rsidRDefault="006C7785">
            <w:pPr>
              <w:widowControl w:val="0"/>
              <w:autoSpaceDE w:val="0"/>
              <w:autoSpaceDN w:val="0"/>
              <w:adjustRightInd w:val="0"/>
              <w:spacing w:after="200" w:line="276" w:lineRule="auto"/>
              <w:ind w:right="-6"/>
              <w:rPr>
                <w:rFonts w:ascii="Times New Roman" w:hAnsi="Times New Roman" w:cs="Times New Roman"/>
                <w:kern w:val="0"/>
                <w:highlight w:val="darkYellow"/>
                <w:lang w:val="en-GB"/>
              </w:rPr>
            </w:pPr>
            <w:r w:rsidRPr="002B5896">
              <w:rPr>
                <w:rFonts w:ascii="Arial" w:hAnsi="Arial" w:cs="Arial"/>
                <w:kern w:val="0"/>
                <w:highlight w:val="darkYellow"/>
                <w:lang w:val="en-GB"/>
              </w:rPr>
              <w:t>(</w:t>
            </w:r>
            <w:commentRangeStart w:id="3"/>
            <w:r w:rsidRPr="002B5896">
              <w:rPr>
                <w:rFonts w:ascii="Arial" w:hAnsi="Arial" w:cs="Arial"/>
                <w:kern w:val="0"/>
                <w:highlight w:val="darkYellow"/>
                <w:lang w:val="en-GB"/>
              </w:rPr>
              <w:t>1) Grant leave to appeal;</w:t>
            </w:r>
            <w:r w:rsidRPr="002B5896">
              <w:rPr>
                <w:rFonts w:ascii="MS Gothic" w:eastAsia="MS Gothic" w:hAnsi="MS Gothic" w:cs="MS Gothic" w:hint="eastAsia"/>
                <w:kern w:val="0"/>
                <w:highlight w:val="darkYellow"/>
                <w:lang w:val="en-GB"/>
              </w:rPr>
              <w:t> </w:t>
            </w:r>
            <w:r w:rsidRPr="002B5896">
              <w:rPr>
                <w:rFonts w:ascii="Arial" w:hAnsi="Arial" w:cs="Arial"/>
                <w:kern w:val="0"/>
                <w:highlight w:val="darkYellow"/>
                <w:lang w:val="en-GB"/>
              </w:rPr>
              <w:t> </w:t>
            </w:r>
            <w:r w:rsidRPr="002B5896">
              <w:rPr>
                <w:rFonts w:ascii="MS Gothic" w:eastAsia="MS Gothic" w:hAnsi="MS Gothic" w:cs="MS Gothic" w:hint="eastAsia"/>
                <w:kern w:val="0"/>
                <w:highlight w:val="darkYellow"/>
                <w:lang w:val="en-GB"/>
              </w:rPr>
              <w:t> </w:t>
            </w:r>
            <w:r w:rsidR="00541ADE" w:rsidRPr="002B5896">
              <w:rPr>
                <w:rFonts w:ascii="MS Gothic" w:eastAsia="MS Gothic" w:hAnsi="MS Gothic" w:cs="MS Gothic"/>
                <w:kern w:val="0"/>
                <w:highlight w:val="darkYellow"/>
                <w:lang w:val="en-GB"/>
              </w:rPr>
              <w:br/>
            </w:r>
            <w:r w:rsidRPr="002B5896">
              <w:rPr>
                <w:rFonts w:ascii="Arial" w:hAnsi="Arial" w:cs="Arial"/>
                <w:kern w:val="0"/>
                <w:highlight w:val="darkYellow"/>
                <w:lang w:val="en-GB"/>
              </w:rPr>
              <w:t>(2) Allow the appeal;</w:t>
            </w:r>
            <w:r w:rsidRPr="002B5896">
              <w:rPr>
                <w:rFonts w:ascii="MS Gothic" w:eastAsia="MS Gothic" w:hAnsi="MS Gothic" w:cs="MS Gothic" w:hint="eastAsia"/>
                <w:kern w:val="0"/>
                <w:highlight w:val="darkYellow"/>
                <w:lang w:val="en-GB"/>
              </w:rPr>
              <w:t> </w:t>
            </w:r>
            <w:r w:rsidRPr="002B5896">
              <w:rPr>
                <w:rFonts w:ascii="Arial" w:hAnsi="Arial" w:cs="Arial"/>
                <w:kern w:val="0"/>
                <w:highlight w:val="darkYellow"/>
                <w:lang w:val="en-GB"/>
              </w:rPr>
              <w:t> </w:t>
            </w:r>
            <w:r w:rsidRPr="002B5896">
              <w:rPr>
                <w:rFonts w:ascii="MS Gothic" w:eastAsia="MS Gothic" w:hAnsi="MS Gothic" w:cs="MS Gothic" w:hint="eastAsia"/>
                <w:kern w:val="0"/>
                <w:highlight w:val="darkYellow"/>
                <w:lang w:val="en-GB"/>
              </w:rPr>
              <w:t> </w:t>
            </w:r>
            <w:r w:rsidR="00541ADE" w:rsidRPr="002B5896">
              <w:rPr>
                <w:rFonts w:ascii="MS Gothic" w:eastAsia="MS Gothic" w:hAnsi="MS Gothic" w:cs="MS Gothic"/>
                <w:kern w:val="0"/>
                <w:highlight w:val="darkYellow"/>
                <w:lang w:val="en-GB"/>
              </w:rPr>
              <w:br/>
            </w:r>
            <w:r w:rsidRPr="002B5896">
              <w:rPr>
                <w:rFonts w:ascii="Arial" w:hAnsi="Arial" w:cs="Arial"/>
                <w:kern w:val="0"/>
                <w:highlight w:val="darkYellow"/>
                <w:lang w:val="en-GB"/>
              </w:rPr>
              <w:t>(3) Set aside the sentence of imprisonment imposed in the District Court on 7 November 2024 and in lieu thereof sentence the appellant to a term of imprisonment of 18 months commencing on 18 December 2023 and expiring on 17 June 2025, with a non-parole period of 10 months imprisonment commencing on 18 December 2023 and expiring on 17 October 2024.</w:t>
            </w:r>
            <w:commentRangeEnd w:id="3"/>
            <w:r w:rsidR="002B5896">
              <w:rPr>
                <w:rStyle w:val="CommentReference"/>
              </w:rPr>
              <w:commentReference w:id="3"/>
            </w:r>
          </w:p>
        </w:tc>
      </w:tr>
      <w:tr w:rsidR="00E6662B" w14:paraId="3124775A"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B7E26AD"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Catchwords: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319EB8CE"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CRIME – appeals – appeal against sentence – armed robbery – lighter as offensive weapon – whether the sentencing judge erred in assessing the objective seriousness of offending – whether the sentencing judge erroneously applied Henry guideline judgment – whether the sentencing judge failed to disclose her Honour’s assessment of objective seriousness – whether her Honour erred in assessing objective seriousness by reference to the nature of the weapon – guideline judgment did not offer guidance in sentencing exercise – appeal upheld – appellant re-sentenced – no basis for further punishment</w:t>
            </w:r>
          </w:p>
        </w:tc>
      </w:tr>
      <w:tr w:rsidR="00E6662B" w14:paraId="5CC05271"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5F037A3B"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Legislation Cited: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23750EAA" w14:textId="50CB91CF"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Crimes (Sentencing Procedure) Act 1999 (NSW)</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Crimes Act 1900 (NSW)</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Criminal Appeal Act 1912 (NSW)</w:t>
            </w:r>
          </w:p>
        </w:tc>
      </w:tr>
      <w:tr w:rsidR="00E6662B" w14:paraId="326D04EF"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5927AC37"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Cases Cited: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62069AC9" w14:textId="1705A3F3"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Baydoun v R [2024] NSWCCA 65</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Nasrallah v R (2021) 105 NSWLR 451; [2021] NSWCCA 207</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 xml:space="preserve">Qoro v R [2020] </w:t>
            </w:r>
            <w:r>
              <w:rPr>
                <w:rFonts w:ascii="Arial" w:hAnsi="Arial" w:cs="Arial"/>
                <w:kern w:val="0"/>
                <w:lang w:val="en-GB"/>
              </w:rPr>
              <w:lastRenderedPageBreak/>
              <w:t>NSWCCA 276</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R v Campbell [2010] ACTCA 20</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R v Henry &amp; Barber [1999] NSWCCA 107</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R v Henry (1999) 46 NSWLR 346; [1999] NSWCCA 111</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R v Jenkins [1999] NSWCCA 110</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R v Kyroglou &amp; Tsoukatos [1999] NSWCCA 106</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Towers v R [2025] NSWCCA 142</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Whipp v R [2024] NSWCCA 79</w:t>
            </w:r>
            <w:r w:rsidR="00BF5CBA">
              <w:rPr>
                <w:rFonts w:ascii="Arial" w:hAnsi="Arial" w:cs="Arial"/>
                <w:kern w:val="0"/>
                <w:lang w:val="en-GB"/>
              </w:rPr>
              <w:t>;</w:t>
            </w:r>
            <w:r>
              <w:rPr>
                <w:rFonts w:ascii="MS Gothic" w:eastAsia="MS Gothic" w:hAnsi="MS Gothic" w:cs="MS Gothic" w:hint="eastAsia"/>
                <w:kern w:val="0"/>
                <w:lang w:val="en-GB"/>
              </w:rPr>
              <w:t> </w:t>
            </w:r>
            <w:r>
              <w:rPr>
                <w:rFonts w:ascii="Arial" w:hAnsi="Arial" w:cs="Arial"/>
                <w:kern w:val="0"/>
                <w:lang w:val="en-GB"/>
              </w:rPr>
              <w:t>Wood v R [2022] NSWCCA 84</w:t>
            </w:r>
            <w:r w:rsidR="00BF5CBA">
              <w:rPr>
                <w:rFonts w:ascii="Arial" w:hAnsi="Arial" w:cs="Arial"/>
                <w:kern w:val="0"/>
                <w:lang w:val="en-GB"/>
              </w:rPr>
              <w:t>.</w:t>
            </w:r>
          </w:p>
        </w:tc>
      </w:tr>
      <w:tr w:rsidR="00E6662B" w14:paraId="48DAB876"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1B631E97"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lastRenderedPageBreak/>
              <w:t xml:space="preserve">Category: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499518F"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Principal judgment</w:t>
            </w:r>
          </w:p>
        </w:tc>
      </w:tr>
      <w:tr w:rsidR="00E6662B" w14:paraId="3BC9ED7B"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09E354B9"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Parties: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135E61D"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Shanta Luchetti (Appellant)</w:t>
            </w:r>
            <w:r>
              <w:rPr>
                <w:rFonts w:ascii="MS Gothic" w:eastAsia="MS Gothic" w:hAnsi="MS Gothic" w:cs="MS Gothic" w:hint="eastAsia"/>
                <w:kern w:val="0"/>
                <w:lang w:val="en-GB"/>
              </w:rPr>
              <w:t> </w:t>
            </w:r>
            <w:r>
              <w:rPr>
                <w:rFonts w:ascii="Arial" w:hAnsi="Arial" w:cs="Arial"/>
                <w:kern w:val="0"/>
                <w:lang w:val="en-GB"/>
              </w:rPr>
              <w:t>Rex (Respondent)</w:t>
            </w:r>
          </w:p>
        </w:tc>
      </w:tr>
      <w:tr w:rsidR="00E6662B" w14:paraId="5E44016E"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CA866C4"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Representation: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37B5A4C"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Counsel:</w:t>
            </w:r>
            <w:r>
              <w:rPr>
                <w:rFonts w:ascii="MS Gothic" w:eastAsia="MS Gothic" w:hAnsi="MS Gothic" w:cs="MS Gothic" w:hint="eastAsia"/>
                <w:kern w:val="0"/>
                <w:lang w:val="en-GB"/>
              </w:rPr>
              <w:t> </w:t>
            </w:r>
            <w:r>
              <w:rPr>
                <w:rFonts w:ascii="Arial" w:hAnsi="Arial" w:cs="Arial"/>
                <w:kern w:val="0"/>
                <w:lang w:val="en-GB"/>
              </w:rPr>
              <w:t>J Roy SC / E C Egan (Appellant)</w:t>
            </w:r>
            <w:r>
              <w:rPr>
                <w:rFonts w:ascii="MS Gothic" w:eastAsia="MS Gothic" w:hAnsi="MS Gothic" w:cs="MS Gothic" w:hint="eastAsia"/>
                <w:kern w:val="0"/>
                <w:lang w:val="en-GB"/>
              </w:rPr>
              <w:t> </w:t>
            </w:r>
            <w:r>
              <w:rPr>
                <w:rFonts w:ascii="Arial" w:hAnsi="Arial" w:cs="Arial"/>
                <w:kern w:val="0"/>
                <w:lang w:val="en-GB"/>
              </w:rPr>
              <w:t>S Healy (Respondent)</w:t>
            </w:r>
            <w:r>
              <w:rPr>
                <w:rFonts w:ascii="MS Gothic" w:eastAsia="MS Gothic" w:hAnsi="MS Gothic" w:cs="MS Gothic" w:hint="eastAsia"/>
                <w:kern w:val="0"/>
                <w:lang w:val="en-GB"/>
              </w:rPr>
              <w:t>  </w:t>
            </w:r>
            <w:r>
              <w:rPr>
                <w:rFonts w:ascii="Arial" w:hAnsi="Arial" w:cs="Arial"/>
                <w:kern w:val="0"/>
                <w:lang w:val="en-GB"/>
              </w:rPr>
              <w:t>Solicitors:</w:t>
            </w:r>
            <w:r>
              <w:rPr>
                <w:rFonts w:ascii="MS Gothic" w:eastAsia="MS Gothic" w:hAnsi="MS Gothic" w:cs="MS Gothic" w:hint="eastAsia"/>
                <w:kern w:val="0"/>
                <w:lang w:val="en-GB"/>
              </w:rPr>
              <w:t> </w:t>
            </w:r>
            <w:r>
              <w:rPr>
                <w:rFonts w:ascii="Arial" w:hAnsi="Arial" w:cs="Arial"/>
                <w:kern w:val="0"/>
                <w:lang w:val="en-GB"/>
              </w:rPr>
              <w:t>Legal Aid NSW (Appellant)</w:t>
            </w:r>
            <w:r>
              <w:rPr>
                <w:rFonts w:ascii="MS Gothic" w:eastAsia="MS Gothic" w:hAnsi="MS Gothic" w:cs="MS Gothic" w:hint="eastAsia"/>
                <w:kern w:val="0"/>
                <w:lang w:val="en-GB"/>
              </w:rPr>
              <w:t> </w:t>
            </w:r>
            <w:r>
              <w:rPr>
                <w:rFonts w:ascii="Arial" w:hAnsi="Arial" w:cs="Arial"/>
                <w:kern w:val="0"/>
                <w:lang w:val="en-GB"/>
              </w:rPr>
              <w:t>Solicitor for Public Prosecutions (NSW) (Respondent)</w:t>
            </w:r>
          </w:p>
        </w:tc>
      </w:tr>
      <w:tr w:rsidR="00E6662B" w14:paraId="062D5B68"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1F7C17C"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File Number(s):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8C69ACC"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2023/00366208</w:t>
            </w:r>
          </w:p>
        </w:tc>
      </w:tr>
      <w:tr w:rsidR="00E6662B" w14:paraId="499C4274"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15184959" w14:textId="77777777" w:rsidR="006C7785" w:rsidRDefault="006C7785">
            <w:pPr>
              <w:widowControl w:val="0"/>
              <w:autoSpaceDE w:val="0"/>
              <w:autoSpaceDN w:val="0"/>
              <w:adjustRightInd w:val="0"/>
              <w:spacing w:after="200" w:line="276" w:lineRule="auto"/>
              <w:ind w:right="-6"/>
              <w:rPr>
                <w:rFonts w:ascii="Arial" w:hAnsi="Arial" w:cs="Arial"/>
                <w:kern w:val="0"/>
                <w:lang w:val="en-GB"/>
              </w:rPr>
            </w:pPr>
            <w:r>
              <w:rPr>
                <w:rFonts w:ascii="Arial" w:hAnsi="Arial" w:cs="Arial"/>
                <w:kern w:val="0"/>
                <w:lang w:val="en-GB"/>
              </w:rPr>
              <w:t xml:space="preserve">Decision under appeal: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5FC2A762"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  </w:t>
            </w:r>
          </w:p>
        </w:tc>
      </w:tr>
      <w:tr w:rsidR="00E6662B" w14:paraId="3D141FBA"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0AAE2C8B"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 Court or Tribunal: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56EF8026"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District Court of New South Wales</w:t>
            </w:r>
          </w:p>
        </w:tc>
      </w:tr>
      <w:tr w:rsidR="00E6662B" w14:paraId="798D5429"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811E7F4"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  Jurisdiction: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71FC5D1F"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Criminal</w:t>
            </w:r>
          </w:p>
        </w:tc>
      </w:tr>
      <w:tr w:rsidR="00E6662B" w14:paraId="4EB344A0"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3DE2AA4C"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  Date of Decision: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3BABF3C3"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7 November 2024</w:t>
            </w:r>
          </w:p>
        </w:tc>
      </w:tr>
      <w:tr w:rsidR="00E6662B" w14:paraId="7163E305" w14:textId="77777777" w:rsidTr="00541ADE">
        <w:tblPrEx>
          <w:tblBorders>
            <w:top w:val="none" w:sz="0" w:space="0" w:color="auto"/>
          </w:tblBorders>
        </w:tblPrEx>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E5C7E39"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  Before: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4D633137"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Hock DCJ</w:t>
            </w:r>
          </w:p>
        </w:tc>
      </w:tr>
      <w:tr w:rsidR="00E6662B" w14:paraId="39D33ED6" w14:textId="77777777" w:rsidTr="00541ADE">
        <w:tc>
          <w:tcPr>
            <w:tcW w:w="1471"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20092111"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 xml:space="preserve">  File Number(s): </w:t>
            </w:r>
          </w:p>
        </w:tc>
        <w:tc>
          <w:tcPr>
            <w:tcW w:w="3529" w:type="pct"/>
            <w:tcBorders>
              <w:top w:val="single" w:sz="8" w:space="0" w:color="BFBFBF"/>
              <w:left w:val="single" w:sz="8" w:space="0" w:color="BFBFBF"/>
              <w:bottom w:val="single" w:sz="8" w:space="0" w:color="BFBFBF"/>
              <w:right w:val="single" w:sz="8" w:space="0" w:color="BFBFBF"/>
            </w:tcBorders>
            <w:tcMar>
              <w:top w:w="100" w:type="nil"/>
              <w:right w:w="100" w:type="nil"/>
            </w:tcMar>
          </w:tcPr>
          <w:p w14:paraId="19465262" w14:textId="77777777" w:rsidR="006C7785" w:rsidRDefault="006C7785">
            <w:pPr>
              <w:widowControl w:val="0"/>
              <w:autoSpaceDE w:val="0"/>
              <w:autoSpaceDN w:val="0"/>
              <w:adjustRightInd w:val="0"/>
              <w:spacing w:after="200" w:line="276" w:lineRule="auto"/>
              <w:ind w:right="-6"/>
              <w:rPr>
                <w:rFonts w:ascii="Times New Roman" w:hAnsi="Times New Roman" w:cs="Times New Roman"/>
                <w:kern w:val="0"/>
                <w:lang w:val="en-GB"/>
              </w:rPr>
            </w:pPr>
            <w:r>
              <w:rPr>
                <w:rFonts w:ascii="Arial" w:hAnsi="Arial" w:cs="Arial"/>
                <w:kern w:val="0"/>
                <w:lang w:val="en-GB"/>
              </w:rPr>
              <w:t>2023/00366208</w:t>
            </w:r>
          </w:p>
        </w:tc>
      </w:tr>
    </w:tbl>
    <w:p w14:paraId="781E6B49" w14:textId="77777777" w:rsidR="006C7785" w:rsidRDefault="006C7785" w:rsidP="00E118EC">
      <w:pPr>
        <w:pStyle w:val="Heading2"/>
        <w:rPr>
          <w:rFonts w:ascii="Times New Roman" w:hAnsi="Times New Roman" w:cs="Times New Roman"/>
          <w:lang w:val="en-GB"/>
        </w:rPr>
      </w:pPr>
      <w:r>
        <w:rPr>
          <w:lang w:val="en-GB"/>
        </w:rPr>
        <w:t>JUDGMENT</w:t>
      </w:r>
    </w:p>
    <w:p w14:paraId="4206BDAA"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b/>
          <w:bCs/>
          <w:kern w:val="0"/>
          <w:lang w:val="en-GB"/>
        </w:rPr>
        <w:t>1</w:t>
      </w:r>
      <w:r>
        <w:rPr>
          <w:rFonts w:ascii="Arial" w:hAnsi="Arial" w:cs="Arial"/>
          <w:b/>
          <w:bCs/>
          <w:kern w:val="0"/>
          <w:lang w:val="en-GB"/>
        </w:rPr>
        <w:tab/>
        <w:t xml:space="preserve">MITCHELMORE JA: </w:t>
      </w:r>
      <w:r>
        <w:rPr>
          <w:rFonts w:ascii="Arial" w:hAnsi="Arial" w:cs="Arial"/>
          <w:kern w:val="0"/>
          <w:lang w:val="en-GB"/>
        </w:rPr>
        <w:t xml:space="preserve">I agree with Rigg J. </w:t>
      </w:r>
    </w:p>
    <w:p w14:paraId="17A6FD0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b/>
          <w:bCs/>
          <w:kern w:val="0"/>
          <w:lang w:val="en-GB"/>
        </w:rPr>
        <w:t>2</w:t>
      </w:r>
      <w:r>
        <w:rPr>
          <w:rFonts w:ascii="Arial" w:hAnsi="Arial" w:cs="Arial"/>
          <w:b/>
          <w:bCs/>
          <w:kern w:val="0"/>
          <w:lang w:val="en-GB"/>
        </w:rPr>
        <w:tab/>
        <w:t xml:space="preserve">KIRK JA: </w:t>
      </w:r>
      <w:r>
        <w:rPr>
          <w:rFonts w:ascii="Arial" w:hAnsi="Arial" w:cs="Arial"/>
          <w:kern w:val="0"/>
          <w:lang w:val="en-GB"/>
        </w:rPr>
        <w:t xml:space="preserve">I agree with Rigg J. </w:t>
      </w:r>
    </w:p>
    <w:p w14:paraId="7C468A79"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b/>
          <w:bCs/>
          <w:kern w:val="0"/>
          <w:lang w:val="en-GB"/>
        </w:rPr>
        <w:t>3</w:t>
      </w:r>
      <w:r>
        <w:rPr>
          <w:rFonts w:ascii="Arial" w:hAnsi="Arial" w:cs="Arial"/>
          <w:b/>
          <w:bCs/>
          <w:kern w:val="0"/>
          <w:lang w:val="en-GB"/>
        </w:rPr>
        <w:tab/>
        <w:t xml:space="preserve">RIGG J: </w:t>
      </w:r>
      <w:r>
        <w:rPr>
          <w:rFonts w:ascii="Arial" w:hAnsi="Arial" w:cs="Arial"/>
          <w:kern w:val="0"/>
          <w:lang w:val="en-GB"/>
        </w:rPr>
        <w:t>At the end of the hearing on 8 October 2025, the Court made the following orders:</w:t>
      </w:r>
    </w:p>
    <w:p w14:paraId="393B5159" w14:textId="77777777" w:rsidR="006C7785" w:rsidRDefault="006C7785" w:rsidP="00A4684F">
      <w:pPr>
        <w:widowControl w:val="0"/>
        <w:autoSpaceDE w:val="0"/>
        <w:autoSpaceDN w:val="0"/>
        <w:adjustRightInd w:val="0"/>
        <w:spacing w:before="150" w:after="0" w:line="240" w:lineRule="auto"/>
        <w:ind w:left="600" w:right="-6"/>
        <w:rPr>
          <w:rFonts w:ascii="Times New Roman" w:hAnsi="Times New Roman" w:cs="Times New Roman"/>
          <w:kern w:val="0"/>
          <w:lang w:val="en-GB"/>
        </w:rPr>
      </w:pPr>
      <w:r>
        <w:rPr>
          <w:rFonts w:ascii="Arial" w:hAnsi="Arial" w:cs="Arial"/>
          <w:kern w:val="0"/>
          <w:lang w:val="en-GB"/>
        </w:rPr>
        <w:t>(1)</w:t>
      </w:r>
      <w:r>
        <w:rPr>
          <w:rFonts w:ascii="Arial" w:hAnsi="Arial" w:cs="Arial"/>
          <w:kern w:val="0"/>
          <w:lang w:val="en-GB"/>
        </w:rPr>
        <w:tab/>
        <w:t>Grant leave to appeal;</w:t>
      </w:r>
    </w:p>
    <w:p w14:paraId="33AC93E2" w14:textId="77777777" w:rsidR="006C7785" w:rsidRDefault="006C7785" w:rsidP="00A4684F">
      <w:pPr>
        <w:widowControl w:val="0"/>
        <w:autoSpaceDE w:val="0"/>
        <w:autoSpaceDN w:val="0"/>
        <w:adjustRightInd w:val="0"/>
        <w:spacing w:before="150" w:after="0" w:line="240" w:lineRule="auto"/>
        <w:ind w:left="600" w:right="-6"/>
        <w:rPr>
          <w:rFonts w:ascii="Times New Roman" w:hAnsi="Times New Roman" w:cs="Times New Roman"/>
          <w:kern w:val="0"/>
          <w:lang w:val="en-GB"/>
        </w:rPr>
      </w:pPr>
      <w:r>
        <w:rPr>
          <w:rFonts w:ascii="Arial" w:hAnsi="Arial" w:cs="Arial"/>
          <w:kern w:val="0"/>
          <w:lang w:val="en-GB"/>
        </w:rPr>
        <w:t>(2)</w:t>
      </w:r>
      <w:r>
        <w:rPr>
          <w:rFonts w:ascii="Arial" w:hAnsi="Arial" w:cs="Arial"/>
          <w:kern w:val="0"/>
          <w:lang w:val="en-GB"/>
        </w:rPr>
        <w:tab/>
        <w:t>Allow the appeal;</w:t>
      </w:r>
    </w:p>
    <w:p w14:paraId="7EB202B0" w14:textId="77777777" w:rsidR="006C7785" w:rsidRDefault="006C7785" w:rsidP="00A4684F">
      <w:pPr>
        <w:widowControl w:val="0"/>
        <w:autoSpaceDE w:val="0"/>
        <w:autoSpaceDN w:val="0"/>
        <w:adjustRightInd w:val="0"/>
        <w:spacing w:before="150" w:after="0" w:line="240" w:lineRule="auto"/>
        <w:ind w:left="600" w:right="-6"/>
        <w:rPr>
          <w:rFonts w:ascii="Times New Roman" w:hAnsi="Times New Roman" w:cs="Times New Roman"/>
          <w:kern w:val="0"/>
          <w:lang w:val="en-GB"/>
        </w:rPr>
      </w:pPr>
      <w:r>
        <w:rPr>
          <w:rFonts w:ascii="Arial" w:hAnsi="Arial" w:cs="Arial"/>
          <w:kern w:val="0"/>
          <w:lang w:val="en-GB"/>
        </w:rPr>
        <w:t>(3)</w:t>
      </w:r>
      <w:r>
        <w:rPr>
          <w:rFonts w:ascii="Arial" w:hAnsi="Arial" w:cs="Arial"/>
          <w:kern w:val="0"/>
          <w:lang w:val="en-GB"/>
        </w:rPr>
        <w:tab/>
        <w:t>Set aside the sentence of imprisonment imposed in the District Court on 7 November 2024 and in lieu thereof sentence the [appellant] to a term of imprisonment of 18 months commencing on 18 December 2023 and expiring on 17 June 2025, with a non-parole period of 10 months imprisonment commencing on 18 December 2023 and expiring on 17 October 2024;</w:t>
      </w:r>
    </w:p>
    <w:p w14:paraId="0E1E25FB" w14:textId="77777777" w:rsidR="006C7785" w:rsidRDefault="006C7785" w:rsidP="00A4684F">
      <w:pPr>
        <w:widowControl w:val="0"/>
        <w:autoSpaceDE w:val="0"/>
        <w:autoSpaceDN w:val="0"/>
        <w:adjustRightInd w:val="0"/>
        <w:spacing w:before="150" w:after="0" w:line="240" w:lineRule="auto"/>
        <w:ind w:left="600" w:right="-6"/>
        <w:rPr>
          <w:rFonts w:ascii="Times New Roman" w:hAnsi="Times New Roman" w:cs="Times New Roman"/>
          <w:kern w:val="0"/>
          <w:lang w:val="en-GB"/>
        </w:rPr>
      </w:pPr>
      <w:r>
        <w:rPr>
          <w:rFonts w:ascii="Arial" w:hAnsi="Arial" w:cs="Arial"/>
          <w:kern w:val="0"/>
          <w:lang w:val="en-GB"/>
        </w:rPr>
        <w:lastRenderedPageBreak/>
        <w:t>(4)</w:t>
      </w:r>
      <w:r>
        <w:rPr>
          <w:rFonts w:ascii="Arial" w:hAnsi="Arial" w:cs="Arial"/>
          <w:kern w:val="0"/>
          <w:lang w:val="en-GB"/>
        </w:rPr>
        <w:tab/>
        <w:t>Reasons reserved.</w:t>
      </w:r>
    </w:p>
    <w:p w14:paraId="35A3D464"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w:t>
      </w:r>
      <w:r>
        <w:rPr>
          <w:rFonts w:ascii="Arial" w:hAnsi="Arial" w:cs="Arial"/>
          <w:kern w:val="0"/>
          <w:lang w:val="en-GB"/>
        </w:rPr>
        <w:tab/>
        <w:t xml:space="preserve">Mr Shanta Luchetti was thus entitled to be released immediately. As leave was granted on 8 October 2025, I will refer to Mr Luchetti as “the appellant”. My reasons for joining in making those orders were as follows. </w:t>
      </w:r>
    </w:p>
    <w:p w14:paraId="6917E1BC"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w:t>
      </w:r>
      <w:r>
        <w:rPr>
          <w:rFonts w:ascii="Arial" w:hAnsi="Arial" w:cs="Arial"/>
          <w:kern w:val="0"/>
          <w:lang w:val="en-GB"/>
        </w:rPr>
        <w:tab/>
        <w:t xml:space="preserve">The appellant sought leave pursuant to s 5(1)(c) of the </w:t>
      </w:r>
      <w:r>
        <w:rPr>
          <w:rFonts w:ascii="Arial" w:hAnsi="Arial" w:cs="Arial"/>
          <w:i/>
          <w:iCs/>
          <w:kern w:val="0"/>
          <w:lang w:val="en-GB"/>
        </w:rPr>
        <w:t>Criminal Appeal Act</w:t>
      </w:r>
      <w:r>
        <w:rPr>
          <w:rFonts w:ascii="Arial" w:hAnsi="Arial" w:cs="Arial"/>
          <w:kern w:val="0"/>
          <w:lang w:val="en-GB"/>
        </w:rPr>
        <w:t xml:space="preserve"> </w:t>
      </w:r>
      <w:r>
        <w:rPr>
          <w:rFonts w:ascii="Arial" w:hAnsi="Arial" w:cs="Arial"/>
          <w:i/>
          <w:iCs/>
          <w:kern w:val="0"/>
          <w:lang w:val="en-GB"/>
        </w:rPr>
        <w:t>1912</w:t>
      </w:r>
      <w:r>
        <w:rPr>
          <w:rFonts w:ascii="Arial" w:hAnsi="Arial" w:cs="Arial"/>
          <w:kern w:val="0"/>
          <w:lang w:val="en-GB"/>
        </w:rPr>
        <w:t xml:space="preserve"> (NSW) to </w:t>
      </w:r>
      <w:commentRangeStart w:id="4"/>
      <w:r w:rsidRPr="002B5896">
        <w:rPr>
          <w:rFonts w:ascii="Arial" w:hAnsi="Arial" w:cs="Arial"/>
          <w:kern w:val="0"/>
          <w:highlight w:val="green"/>
          <w:lang w:val="en-GB"/>
        </w:rPr>
        <w:t>appeal against the sentence of imprisonment imposed on him by her Honour Hock DCJ in the District Court of New South Wales on 7 November 2024</w:t>
      </w:r>
      <w:r>
        <w:rPr>
          <w:rFonts w:ascii="Arial" w:hAnsi="Arial" w:cs="Arial"/>
          <w:kern w:val="0"/>
          <w:lang w:val="en-GB"/>
        </w:rPr>
        <w:t xml:space="preserve">, </w:t>
      </w:r>
      <w:commentRangeEnd w:id="4"/>
      <w:r w:rsidR="002B5896">
        <w:rPr>
          <w:rStyle w:val="CommentReference"/>
        </w:rPr>
        <w:commentReference w:id="4"/>
      </w:r>
      <w:r>
        <w:rPr>
          <w:rFonts w:ascii="Arial" w:hAnsi="Arial" w:cs="Arial"/>
          <w:kern w:val="0"/>
          <w:lang w:val="en-GB"/>
        </w:rPr>
        <w:t xml:space="preserve">following an early guilty plea to the offence of robbery whilst armed with an offensive weapon contrary to s 97(1) </w:t>
      </w:r>
      <w:r>
        <w:rPr>
          <w:rFonts w:ascii="Arial" w:hAnsi="Arial" w:cs="Arial"/>
          <w:i/>
          <w:iCs/>
          <w:kern w:val="0"/>
          <w:lang w:val="en-GB"/>
        </w:rPr>
        <w:t xml:space="preserve">Crimes Act 1900 </w:t>
      </w:r>
      <w:r>
        <w:rPr>
          <w:rFonts w:ascii="Arial" w:hAnsi="Arial" w:cs="Arial"/>
          <w:kern w:val="0"/>
          <w:lang w:val="en-GB"/>
        </w:rPr>
        <w:t xml:space="preserve">(NSW). </w:t>
      </w:r>
    </w:p>
    <w:p w14:paraId="543BC83B"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w:t>
      </w:r>
      <w:r>
        <w:rPr>
          <w:rFonts w:ascii="Arial" w:hAnsi="Arial" w:cs="Arial"/>
          <w:kern w:val="0"/>
          <w:lang w:val="en-GB"/>
        </w:rPr>
        <w:tab/>
        <w:t xml:space="preserve">The maximum penalty for that offence was 20 years imprisonment with no standard non-parole period. After applying the 25% discount afforded to the appellant for his early guilty plea, </w:t>
      </w:r>
      <w:r w:rsidRPr="002B5896">
        <w:rPr>
          <w:rFonts w:ascii="Arial" w:hAnsi="Arial" w:cs="Arial"/>
          <w:kern w:val="0"/>
          <w:highlight w:val="green"/>
          <w:lang w:val="en-GB"/>
        </w:rPr>
        <w:t xml:space="preserve">her Honour </w:t>
      </w:r>
      <w:commentRangeStart w:id="5"/>
      <w:r w:rsidRPr="002B5896">
        <w:rPr>
          <w:rFonts w:ascii="Arial" w:hAnsi="Arial" w:cs="Arial"/>
          <w:kern w:val="0"/>
          <w:highlight w:val="green"/>
          <w:lang w:val="en-GB"/>
        </w:rPr>
        <w:t>sentenced the appellant to a total term of 4 years imprisonment and a non-parole period of 2 years and 3 months</w:t>
      </w:r>
      <w:commentRangeEnd w:id="5"/>
      <w:r w:rsidR="002B5896" w:rsidRPr="002B5896">
        <w:rPr>
          <w:rStyle w:val="CommentReference"/>
          <w:highlight w:val="green"/>
        </w:rPr>
        <w:commentReference w:id="5"/>
      </w:r>
      <w:r>
        <w:rPr>
          <w:rFonts w:ascii="Arial" w:hAnsi="Arial" w:cs="Arial"/>
          <w:kern w:val="0"/>
          <w:lang w:val="en-GB"/>
        </w:rPr>
        <w:t xml:space="preserve">, commencing from 18 December 2023. </w:t>
      </w:r>
    </w:p>
    <w:p w14:paraId="147D5E98"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w:t>
      </w:r>
      <w:r>
        <w:rPr>
          <w:rFonts w:ascii="Arial" w:hAnsi="Arial" w:cs="Arial"/>
          <w:kern w:val="0"/>
          <w:lang w:val="en-GB"/>
        </w:rPr>
        <w:tab/>
        <w:t>The appellant sought leave to appeal from the sentence on the following grounds:</w:t>
      </w:r>
    </w:p>
    <w:p w14:paraId="28A2BAEC" w14:textId="77777777" w:rsidR="006C7785" w:rsidRPr="002B5896"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highlight w:val="darkRed"/>
          <w:lang w:val="en-GB"/>
        </w:rPr>
      </w:pPr>
      <w:commentRangeStart w:id="6"/>
      <w:r w:rsidRPr="002B5896">
        <w:rPr>
          <w:rFonts w:ascii="Arial" w:hAnsi="Arial" w:cs="Arial"/>
          <w:kern w:val="0"/>
          <w:sz w:val="22"/>
          <w:szCs w:val="22"/>
          <w:highlight w:val="darkRed"/>
          <w:lang w:val="en-GB"/>
        </w:rPr>
        <w:t>“Ground 1: The sentencing judge erred in assessing objective seriousness, in that:</w:t>
      </w:r>
    </w:p>
    <w:p w14:paraId="05E9B113"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sidRPr="002B5896">
        <w:rPr>
          <w:rFonts w:ascii="Arial" w:hAnsi="Arial" w:cs="Arial"/>
          <w:kern w:val="0"/>
          <w:sz w:val="22"/>
          <w:szCs w:val="22"/>
          <w:highlight w:val="darkRed"/>
          <w:lang w:val="en-GB"/>
        </w:rPr>
        <w:t xml:space="preserve">i. Her Honour erroneously applied </w:t>
      </w:r>
      <w:r w:rsidRPr="002B5896">
        <w:rPr>
          <w:rFonts w:ascii="Arial" w:hAnsi="Arial" w:cs="Arial"/>
          <w:i/>
          <w:iCs/>
          <w:kern w:val="0"/>
          <w:sz w:val="22"/>
          <w:szCs w:val="22"/>
          <w:highlight w:val="darkRed"/>
          <w:lang w:val="en-GB"/>
        </w:rPr>
        <w:t xml:space="preserve">R v Henry </w:t>
      </w:r>
      <w:r w:rsidRPr="002B5896">
        <w:rPr>
          <w:rFonts w:ascii="Arial" w:hAnsi="Arial" w:cs="Arial"/>
          <w:kern w:val="0"/>
          <w:sz w:val="22"/>
          <w:szCs w:val="22"/>
          <w:highlight w:val="darkRed"/>
          <w:lang w:val="en-GB"/>
        </w:rPr>
        <w:t>(1999) 46 NSWLR 346 to the task;</w:t>
      </w:r>
      <w:commentRangeEnd w:id="6"/>
      <w:r w:rsidR="002B5896">
        <w:rPr>
          <w:rStyle w:val="CommentReference"/>
        </w:rPr>
        <w:commentReference w:id="6"/>
      </w:r>
    </w:p>
    <w:p w14:paraId="713AE85C"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ii. Her Honour failed to disclose her assessment; and/or</w:t>
      </w:r>
    </w:p>
    <w:p w14:paraId="7BF1160B"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sidRPr="002B5896">
        <w:rPr>
          <w:rFonts w:ascii="Arial" w:hAnsi="Arial" w:cs="Arial"/>
          <w:kern w:val="0"/>
          <w:sz w:val="22"/>
          <w:szCs w:val="22"/>
          <w:highlight w:val="darkRed"/>
          <w:lang w:val="en-GB"/>
        </w:rPr>
        <w:t xml:space="preserve">iii. Her Honour erred in fact with respect to the nature of the </w:t>
      </w:r>
      <w:commentRangeStart w:id="7"/>
      <w:r w:rsidRPr="002B5896">
        <w:rPr>
          <w:rFonts w:ascii="Arial" w:hAnsi="Arial" w:cs="Arial"/>
          <w:kern w:val="0"/>
          <w:sz w:val="22"/>
          <w:szCs w:val="22"/>
          <w:highlight w:val="darkRed"/>
          <w:lang w:val="en-GB"/>
        </w:rPr>
        <w:t>weapon</w:t>
      </w:r>
      <w:commentRangeEnd w:id="7"/>
      <w:r w:rsidR="002B5896">
        <w:rPr>
          <w:rStyle w:val="CommentReference"/>
        </w:rPr>
        <w:commentReference w:id="7"/>
      </w:r>
      <w:r w:rsidRPr="002B5896">
        <w:rPr>
          <w:rFonts w:ascii="Arial" w:hAnsi="Arial" w:cs="Arial"/>
          <w:kern w:val="0"/>
          <w:sz w:val="22"/>
          <w:szCs w:val="22"/>
          <w:highlight w:val="darkRed"/>
          <w:lang w:val="en-GB"/>
        </w:rPr>
        <w:t>.</w:t>
      </w:r>
    </w:p>
    <w:p w14:paraId="6AE7912A"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Ground 2: The sentencing judge erred by failing to find, or consider whether, the [Appellant’s] mental health would make a full-time custodial sentence more onerous.</w:t>
      </w:r>
    </w:p>
    <w:p w14:paraId="50B8EB1F"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 xml:space="preserve">Ground 3: The sentence was manifestly excessive.” </w:t>
      </w:r>
    </w:p>
    <w:p w14:paraId="6120EFA2" w14:textId="77777777" w:rsidR="006C7785" w:rsidRDefault="006C7785">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 xml:space="preserve">The offending </w:t>
      </w:r>
    </w:p>
    <w:p w14:paraId="4795FEDB"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8</w:t>
      </w:r>
      <w:r>
        <w:rPr>
          <w:rFonts w:ascii="Arial" w:hAnsi="Arial" w:cs="Arial"/>
          <w:kern w:val="0"/>
          <w:lang w:val="en-GB"/>
        </w:rPr>
        <w:tab/>
        <w:t xml:space="preserve">The circumstances of the offending were before her Honour by virtue of a statement of agreed facts. On 11 November 2023 the appellant walked into a Liquorland store in a shopping centre. The victim, an employee of the store, greeted him and stood near the cash register. </w:t>
      </w:r>
      <w:commentRangeStart w:id="8"/>
      <w:r w:rsidRPr="002B5896">
        <w:rPr>
          <w:rFonts w:ascii="Arial" w:hAnsi="Arial" w:cs="Arial"/>
          <w:kern w:val="0"/>
          <w:highlight w:val="magenta"/>
          <w:lang w:val="en-GB"/>
        </w:rPr>
        <w:t xml:space="preserve">The appellant placed a bottle of Johnnie </w:t>
      </w:r>
      <w:r w:rsidRPr="002B5896">
        <w:rPr>
          <w:rFonts w:ascii="Arial" w:hAnsi="Arial" w:cs="Arial"/>
          <w:kern w:val="0"/>
          <w:highlight w:val="magenta"/>
          <w:lang w:val="en-GB"/>
        </w:rPr>
        <w:lastRenderedPageBreak/>
        <w:t xml:space="preserve">Walker Black Label which retails for $97 in his bag and walked towards the exit of the store. </w:t>
      </w:r>
      <w:commentRangeEnd w:id="8"/>
      <w:r w:rsidR="002B5896" w:rsidRPr="002B5896">
        <w:rPr>
          <w:rStyle w:val="CommentReference"/>
          <w:highlight w:val="magenta"/>
        </w:rPr>
        <w:commentReference w:id="8"/>
      </w:r>
      <w:r>
        <w:rPr>
          <w:rFonts w:ascii="Arial" w:hAnsi="Arial" w:cs="Arial"/>
          <w:kern w:val="0"/>
          <w:lang w:val="en-GB"/>
        </w:rPr>
        <w:t xml:space="preserve">The victim saw this on the CCTV monitor at the counter. He walked towards the appellant and said “Are you going to pay for that bottle?”. </w:t>
      </w:r>
      <w:commentRangeStart w:id="9"/>
      <w:r w:rsidRPr="002B5896">
        <w:rPr>
          <w:rFonts w:ascii="Arial" w:hAnsi="Arial" w:cs="Arial"/>
          <w:kern w:val="0"/>
          <w:highlight w:val="magenta"/>
          <w:lang w:val="en-GB"/>
        </w:rPr>
        <w:t>The appellant raised his right hand towards the victim and said “Don’t come near me.” The victim saw the appellant to be holding a black object.</w:t>
      </w:r>
      <w:commentRangeEnd w:id="9"/>
      <w:r w:rsidR="002B5896" w:rsidRPr="002B5896">
        <w:rPr>
          <w:rStyle w:val="CommentReference"/>
          <w:highlight w:val="magenta"/>
        </w:rPr>
        <w:commentReference w:id="9"/>
      </w:r>
    </w:p>
    <w:p w14:paraId="605EEBB4"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9</w:t>
      </w:r>
      <w:r>
        <w:rPr>
          <w:rFonts w:ascii="Arial" w:hAnsi="Arial" w:cs="Arial"/>
          <w:kern w:val="0"/>
          <w:lang w:val="en-GB"/>
        </w:rPr>
        <w:tab/>
      </w:r>
      <w:commentRangeStart w:id="10"/>
      <w:r w:rsidRPr="002B5896">
        <w:rPr>
          <w:rFonts w:ascii="Arial" w:hAnsi="Arial" w:cs="Arial"/>
          <w:kern w:val="0"/>
          <w:highlight w:val="magenta"/>
          <w:lang w:val="en-GB"/>
        </w:rPr>
        <w:t>The victim thought the object was shaped like a gun, but a lot smaller, and he realised it was not a real gun. The agreed facts included stills from the CCTV footage which captured the appellant’s action. The CCTV footage depicts a blue flame emitting from the object but there was no evidence that the victim saw this. To the author of a sentencing assessment report tendered by the Crown at first instance, the appellant said that he pointed a lighter at the victim to deter him from approaching him, and no issue has been taken by the respondent with the fact that the object was a lighter.</w:t>
      </w:r>
      <w:commentRangeEnd w:id="10"/>
      <w:r w:rsidR="002B5896">
        <w:rPr>
          <w:rStyle w:val="CommentReference"/>
        </w:rPr>
        <w:commentReference w:id="10"/>
      </w:r>
      <w:r>
        <w:rPr>
          <w:rFonts w:ascii="Arial" w:hAnsi="Arial" w:cs="Arial"/>
          <w:kern w:val="0"/>
          <w:lang w:val="en-GB"/>
        </w:rPr>
        <w:t xml:space="preserve"> There was no evidence as to how close to the appellant the victim walked in his direction before the appellant told him not to come near him. The victim was fearful and stopped approaching the appellant, and the appellant walked out of the store.</w:t>
      </w:r>
    </w:p>
    <w:p w14:paraId="3485318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10</w:t>
      </w:r>
      <w:r>
        <w:rPr>
          <w:rFonts w:ascii="Arial" w:hAnsi="Arial" w:cs="Arial"/>
          <w:kern w:val="0"/>
          <w:lang w:val="en-GB"/>
        </w:rPr>
        <w:tab/>
        <w:t>The police were contacted and the appellant was arrested six days later on 17 November 2023, remaining in custody until sentenced.</w:t>
      </w:r>
    </w:p>
    <w:p w14:paraId="74CAF444" w14:textId="77777777" w:rsidR="006C7785" w:rsidRDefault="006C7785" w:rsidP="00A4684F">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The appellant’s personal circumstances</w:t>
      </w:r>
    </w:p>
    <w:p w14:paraId="2909D32F"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11</w:t>
      </w:r>
      <w:r>
        <w:rPr>
          <w:rFonts w:ascii="Arial" w:hAnsi="Arial" w:cs="Arial"/>
          <w:kern w:val="0"/>
          <w:lang w:val="en-GB"/>
        </w:rPr>
        <w:tab/>
        <w:t xml:space="preserve">The appellant’s circumstances were before the Court by further aspects of the agreed facts, his criminal and custodial history, a sentencing assessment report and breach of parole report tendered by the Crown, and the psychiatric report of Dr Dayalan tendered on the appellant’s behalf. The appellant was 38 years of age at the time of the offending. </w:t>
      </w:r>
    </w:p>
    <w:p w14:paraId="78F77CE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12</w:t>
      </w:r>
      <w:r>
        <w:rPr>
          <w:rFonts w:ascii="Arial" w:hAnsi="Arial" w:cs="Arial"/>
          <w:kern w:val="0"/>
          <w:lang w:val="en-GB"/>
        </w:rPr>
        <w:tab/>
        <w:t xml:space="preserve">As well as assessing the appellant, Dr Dayalan had previously been involved in his care at South Coast Correctional Centre. He also considered earlier psychiatric reports of Dr Robertson dated 6 December 2021 and Dr Furst dated 22 February 2023. </w:t>
      </w:r>
    </w:p>
    <w:p w14:paraId="49807B8B"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13</w:t>
      </w:r>
      <w:r>
        <w:rPr>
          <w:rFonts w:ascii="Arial" w:hAnsi="Arial" w:cs="Arial"/>
          <w:kern w:val="0"/>
          <w:lang w:val="en-GB"/>
        </w:rPr>
        <w:tab/>
        <w:t xml:space="preserve">The appellant was born in Sri Lanka and adopted at a young age by an Australian couple. They also adopted his brother. He had difficulties in learning and attended special classes in high school. He displayed conduct problems at this time </w:t>
      </w:r>
      <w:r>
        <w:rPr>
          <w:rFonts w:ascii="Arial" w:hAnsi="Arial" w:cs="Arial"/>
          <w:kern w:val="0"/>
          <w:lang w:val="en-GB"/>
        </w:rPr>
        <w:lastRenderedPageBreak/>
        <w:t>which coincided with abusing cannabis and alcohol, and criminal offending. He was seriously assaulted as a youth and the consequential trauma exacerbated his substance abuse.</w:t>
      </w:r>
    </w:p>
    <w:p w14:paraId="61106F77"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14</w:t>
      </w:r>
      <w:r>
        <w:rPr>
          <w:rFonts w:ascii="Arial" w:hAnsi="Arial" w:cs="Arial"/>
          <w:kern w:val="0"/>
          <w:lang w:val="en-GB"/>
        </w:rPr>
        <w:tab/>
        <w:t xml:space="preserve">In his early twenties the appellant began to experience auditory hallucinations, even when abstinent from drugs and despite treatment with antipsychotic medication. He believed the voices were those of Outlaw Motorcycle Gang (“OMCG”) members. He believed they had murdered his father while he was visiting Thailand, and he blamed himself for his father’s death. In 2012 he was admitted to the Mater Hospital in the context of the voices telling him that OMCG members were going to kill him. </w:t>
      </w:r>
      <w:commentRangeStart w:id="11"/>
      <w:r w:rsidRPr="002B5896">
        <w:rPr>
          <w:rFonts w:ascii="Arial" w:hAnsi="Arial" w:cs="Arial"/>
          <w:kern w:val="0"/>
          <w:highlight w:val="magenta"/>
          <w:lang w:val="en-GB"/>
        </w:rPr>
        <w:t>He was diagnosed with schizophrenia at 27 years of age. He has had a number of psychiatric admissions since then, and his ongoing use of illicit substances and non-compliance with medication have exacerbated his symptoms.</w:t>
      </w:r>
      <w:commentRangeEnd w:id="11"/>
      <w:r w:rsidR="002B5896">
        <w:rPr>
          <w:rStyle w:val="CommentReference"/>
        </w:rPr>
        <w:commentReference w:id="11"/>
      </w:r>
      <w:r>
        <w:rPr>
          <w:rFonts w:ascii="Arial" w:hAnsi="Arial" w:cs="Arial"/>
          <w:kern w:val="0"/>
          <w:lang w:val="en-GB"/>
        </w:rPr>
        <w:t xml:space="preserve"> These substances have been described by him as being used to help him “cope with reality.” The appellant has a history of suicidal thoughts, although to Dr Dayalan he denied any past suicide attempt. </w:t>
      </w:r>
    </w:p>
    <w:p w14:paraId="4E911E9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15</w:t>
      </w:r>
      <w:r>
        <w:rPr>
          <w:rFonts w:ascii="Arial" w:hAnsi="Arial" w:cs="Arial"/>
          <w:kern w:val="0"/>
          <w:lang w:val="en-GB"/>
        </w:rPr>
        <w:tab/>
        <w:t>Regarding the offending, the appellant reported to Dr Dayalan that he believed he was being followed by neo-Nazis and OMCG members. He was experiencing auditory hallucinations. He said his substance abuse had contributed to his actions and that he hoped to sell the bottle of whiskey for crystal methamphetamine, but consumed it himself. He had been released a month earlier from custody and was not receiving mental health treatment in the community.</w:t>
      </w:r>
    </w:p>
    <w:p w14:paraId="30506CF0"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16</w:t>
      </w:r>
      <w:r>
        <w:rPr>
          <w:rFonts w:ascii="Arial" w:hAnsi="Arial" w:cs="Arial"/>
          <w:kern w:val="0"/>
          <w:lang w:val="en-GB"/>
        </w:rPr>
        <w:tab/>
        <w:t>Dr Dayalan noted that since his return to custody the appellant had been recommenced on antipsychotic medications and denied illicit drug use. He reported to Dr Dayalan that he continued to hear voices. He said he challenged correctives officers to stop spreading rumours about him being a sex offender and this led to a physical altercation. He said he had also made a statement that a female officer defecated on his stomach, and believed he was being persecuted for this comment. Dr Dayalan described the appellant as providing a thought disordered account regarding OMCG members at the time of his assessment in October 2024.</w:t>
      </w:r>
    </w:p>
    <w:p w14:paraId="18700F5A"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17</w:t>
      </w:r>
      <w:r>
        <w:rPr>
          <w:rFonts w:ascii="Arial" w:hAnsi="Arial" w:cs="Arial"/>
          <w:kern w:val="0"/>
          <w:lang w:val="en-GB"/>
        </w:rPr>
        <w:tab/>
        <w:t>The appellant stated to Dr Dayalan that he coped better in custody than in the community. He felt more anxious and feared more persecution from OMCG members in the community.</w:t>
      </w:r>
    </w:p>
    <w:p w14:paraId="1E09B335"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lastRenderedPageBreak/>
        <w:t>18</w:t>
      </w:r>
      <w:r>
        <w:rPr>
          <w:rFonts w:ascii="Arial" w:hAnsi="Arial" w:cs="Arial"/>
          <w:kern w:val="0"/>
          <w:lang w:val="en-GB"/>
        </w:rPr>
        <w:tab/>
        <w:t>Dr Dayalan diagnosed the appellant with: chronic treatment resistant schizophrenia; cannabis, stimulant and alcohol use disorders; and noted that he was suffering from cognitive deficits.</w:t>
      </w:r>
    </w:p>
    <w:p w14:paraId="752CC4FA"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19</w:t>
      </w:r>
      <w:r>
        <w:rPr>
          <w:rFonts w:ascii="Arial" w:hAnsi="Arial" w:cs="Arial"/>
          <w:kern w:val="0"/>
          <w:lang w:val="en-GB"/>
        </w:rPr>
        <w:tab/>
        <w:t>Dr Dayalan referred to the appellant’s psychotic symptoms around the time of the offence, use of drugs and non-compliance with medication. He expressed the opinion that while the appellant’s offending did not appear to be directly influenced by his psychotic symptoms, there was a close correlation between his substance use and offending behaviour. He abused substances to manage distress secondary to psychotic symptoms, which suggested an indirect association between the mental condition and offending. Dr Dayalan explained that there is a high incidence of substance abuse amongst individuals with schizophrenia. He expressed the view that the ongoing psychosis, cognitive deficits and the effects of substances were all likely to have contributed to impaired judgment and consequential thinking at the time of the offence.</w:t>
      </w:r>
    </w:p>
    <w:p w14:paraId="518DAB06"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20</w:t>
      </w:r>
      <w:r>
        <w:rPr>
          <w:rFonts w:ascii="Arial" w:hAnsi="Arial" w:cs="Arial"/>
          <w:kern w:val="0"/>
          <w:lang w:val="en-GB"/>
        </w:rPr>
        <w:tab/>
        <w:t>The appellant has a significant record of criminal convictions including for robbery in company and robbery while armed with an offensive weapon as a juvenile, resulting in the imposition of control orders.</w:t>
      </w:r>
    </w:p>
    <w:p w14:paraId="42E6D6E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21</w:t>
      </w:r>
      <w:r>
        <w:rPr>
          <w:rFonts w:ascii="Arial" w:hAnsi="Arial" w:cs="Arial"/>
          <w:kern w:val="0"/>
          <w:lang w:val="en-GB"/>
        </w:rPr>
        <w:tab/>
        <w:t xml:space="preserve">The appellant’s adult convictions include robbery in company in 2005, demanding money with menaces in 2010, assault occasioning actual bodily harm and other assaults in 2010, robberies in 2017 and 2022, larceny and shoplifting, custody of a knife, offences of having goods in his custody, and stalking and intimidation. The sentencing assessment report describes the appellant’s offending as consistently underpinned by substance abuse and mental illness. He was on parole at the time of the commission of the offence, having been released from custody to parole on 18 October 2023. He was also subject to two Community Correction Orders. </w:t>
      </w:r>
    </w:p>
    <w:p w14:paraId="2CD02275"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22</w:t>
      </w:r>
      <w:r>
        <w:rPr>
          <w:rFonts w:ascii="Arial" w:hAnsi="Arial" w:cs="Arial"/>
          <w:kern w:val="0"/>
          <w:lang w:val="en-GB"/>
        </w:rPr>
        <w:tab/>
        <w:t xml:space="preserve">After the appellant’s release to parole on 18 October 2023 he was hospitalised at Cumberland Mental Health Hospital for six days from 21 October 2023 because of his manner of presentation at the accommodation organised for him. After his discharge he reported, at an appointment with Community Corrections on 2 November 2023, that he was struggling to remain abstinent. He was not present at his managed accommodation on a Community Corrections home visit on 9 </w:t>
      </w:r>
      <w:r>
        <w:rPr>
          <w:rFonts w:ascii="Arial" w:hAnsi="Arial" w:cs="Arial"/>
          <w:kern w:val="0"/>
          <w:lang w:val="en-GB"/>
        </w:rPr>
        <w:lastRenderedPageBreak/>
        <w:t>November 2023, and further enquiries revealed that he had been returned to hospital the previous day due to a decline in his mental health. He was directed to report on 13 November 2023 but failed to do so in person. He did however make telephone contact with Community Corrections, stating he could not report due to not feeling safe in Merrylands, which feeling had also caused him to leave the previous accommodation. Contact with Community Mental Health shortly after this resulted in advice to Community Corrections that the appellant needed to be admitted to hospital. Attempts to locate the appellant on 16 November 2023 were unsuccessful, and he was arrested on 17 November 2023, having offended on November 11.</w:t>
      </w:r>
    </w:p>
    <w:p w14:paraId="47C6AC9C"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23</w:t>
      </w:r>
      <w:r>
        <w:rPr>
          <w:rFonts w:ascii="Arial" w:hAnsi="Arial" w:cs="Arial"/>
          <w:kern w:val="0"/>
          <w:lang w:val="en-GB"/>
        </w:rPr>
        <w:tab/>
        <w:t xml:space="preserve">The appellant acknowledged to the author of the sentencing assessment report that when in the community he is not compliant with prescribed mental health medication, and it was noted that he has previously indicated he should be placed on a Community Treatment Order. </w:t>
      </w:r>
    </w:p>
    <w:p w14:paraId="2BD8A8C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24</w:t>
      </w:r>
      <w:r>
        <w:rPr>
          <w:rFonts w:ascii="Arial" w:hAnsi="Arial" w:cs="Arial"/>
          <w:kern w:val="0"/>
          <w:lang w:val="en-GB"/>
        </w:rPr>
        <w:tab/>
        <w:t>As at the date of the commission of the offence, the appellant had provided to him accommodation in Merrylands managed by Healthcare Requests (Accommodation Services), and was assisted by disability support workers. However he did not always live at the managed property, due to delusional thoughts about the safety of the property. He described himself to the author of the sentencing assessment report as homeless at the relevant time.</w:t>
      </w:r>
    </w:p>
    <w:p w14:paraId="31D088E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25</w:t>
      </w:r>
      <w:r>
        <w:rPr>
          <w:rFonts w:ascii="Arial" w:hAnsi="Arial" w:cs="Arial"/>
          <w:kern w:val="0"/>
          <w:lang w:val="en-GB"/>
        </w:rPr>
        <w:tab/>
        <w:t>On the day of offending the appellant was assisted by a disability support worker between 9 am and 2 pm. That worker went to an address in Surry Hills and picked up the appellant, taking him to a mall in Redfern and then to the appellant’s managed accommodation. The worker stayed there for a period before the appellant asked to be taken to Westfield Parramatta, which is where he then offended.</w:t>
      </w:r>
    </w:p>
    <w:p w14:paraId="2821DEB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26</w:t>
      </w:r>
      <w:r>
        <w:rPr>
          <w:rFonts w:ascii="Arial" w:hAnsi="Arial" w:cs="Arial"/>
          <w:kern w:val="0"/>
          <w:lang w:val="en-GB"/>
        </w:rPr>
        <w:tab/>
        <w:t>Dr Dayalan described the appellant as institutionalised. He has struggled to adapt to living in the community when released from gaol, resulting in repeated incarcerations. This issue, in his view, required input from multiple agencies upon the appellant transitioning into the community, such as the mental health team, drug and alcohol services, disability support services and Community Corrections. He suggested that a prolonged period of parole with such engagement mandated would better address these rehabilitation needs than a protracted period in a correctional environment.</w:t>
      </w:r>
    </w:p>
    <w:p w14:paraId="366ACF0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lastRenderedPageBreak/>
        <w:t>27</w:t>
      </w:r>
      <w:r>
        <w:rPr>
          <w:rFonts w:ascii="Arial" w:hAnsi="Arial" w:cs="Arial"/>
          <w:kern w:val="0"/>
          <w:lang w:val="en-GB"/>
        </w:rPr>
        <w:tab/>
        <w:t xml:space="preserve">At the time of the completion of the sentencing assessment report the appellant had refused to accept calls from his National Disability Insurance Scheme (“NDIS”) provider, who advised the report’s author they had capacity to assist him in finding post-release accommodation. </w:t>
      </w:r>
    </w:p>
    <w:p w14:paraId="3A96101F" w14:textId="77777777" w:rsidR="006C7785" w:rsidRDefault="006C7785">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Sentencing Judgment</w:t>
      </w:r>
    </w:p>
    <w:p w14:paraId="29F54C68"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28</w:t>
      </w:r>
      <w:r>
        <w:rPr>
          <w:rFonts w:ascii="Arial" w:hAnsi="Arial" w:cs="Arial"/>
          <w:kern w:val="0"/>
          <w:lang w:val="en-GB"/>
        </w:rPr>
        <w:tab/>
        <w:t>Her Honour noted the maximum penalty of 20 years imprisonment, and the timing of the guilty plea which entitled the appellant to a discount of 25%. Her Honour set out a significant portion of the statement of agreed facts. Her Honour then stated:</w:t>
      </w:r>
    </w:p>
    <w:p w14:paraId="4280EEC6"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“That completes my summary of the facts.</w:t>
      </w:r>
    </w:p>
    <w:p w14:paraId="6754F639"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 xml:space="preserve">The guideline case of </w:t>
      </w:r>
      <w:r>
        <w:rPr>
          <w:rFonts w:ascii="Arial" w:hAnsi="Arial" w:cs="Arial"/>
          <w:i/>
          <w:iCs/>
          <w:kern w:val="0"/>
          <w:sz w:val="22"/>
          <w:szCs w:val="22"/>
          <w:lang w:val="en-GB"/>
        </w:rPr>
        <w:t>R v Henry</w:t>
      </w:r>
      <w:r>
        <w:rPr>
          <w:rFonts w:ascii="Arial" w:hAnsi="Arial" w:cs="Arial"/>
          <w:kern w:val="0"/>
          <w:sz w:val="22"/>
          <w:szCs w:val="22"/>
          <w:lang w:val="en-GB"/>
        </w:rPr>
        <w:t xml:space="preserve"> (1999) 46 NSWLR 346 provides that for an offence with the seven common characteristics, the sentence should generally fall between 4 and 5 years for a full term for a late plea of guilty. Therefore, the starting point is between 5 years and 6 months and 4 years and 5 months before discount of 10%.</w:t>
      </w:r>
    </w:p>
    <w:p w14:paraId="4176CFCF"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 xml:space="preserve">The authorities subsequent to </w:t>
      </w:r>
      <w:r>
        <w:rPr>
          <w:rFonts w:ascii="Arial" w:hAnsi="Arial" w:cs="Arial"/>
          <w:i/>
          <w:iCs/>
          <w:kern w:val="0"/>
          <w:sz w:val="22"/>
          <w:szCs w:val="22"/>
          <w:lang w:val="en-GB"/>
        </w:rPr>
        <w:t>Henry</w:t>
      </w:r>
      <w:r>
        <w:rPr>
          <w:rFonts w:ascii="Arial" w:hAnsi="Arial" w:cs="Arial"/>
          <w:kern w:val="0"/>
          <w:sz w:val="22"/>
          <w:szCs w:val="22"/>
          <w:lang w:val="en-GB"/>
        </w:rPr>
        <w:t xml:space="preserve"> make clear that the guideline is not prescriptive. The seven characteristics identified are:</w:t>
      </w:r>
    </w:p>
    <w:p w14:paraId="060F0FA5"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(i)   young offender with no or little criminal history;</w:t>
      </w:r>
    </w:p>
    <w:p w14:paraId="0AD7DF72"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(ii)   weapon like a knife, capable of killing or inflicting serious injury;</w:t>
      </w:r>
    </w:p>
    <w:p w14:paraId="16A3DC3A"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(iii)   limited degree of planning;</w:t>
      </w:r>
    </w:p>
    <w:p w14:paraId="27445F4F"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(iv)   limited, if any, actual violence but a real threat thereof;</w:t>
      </w:r>
    </w:p>
    <w:p w14:paraId="0509230F"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(v)   victim being in a vulnerable position such as a shopkeeper or taxi driver;</w:t>
      </w:r>
    </w:p>
    <w:p w14:paraId="4A92A342"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(vi)   small amount of money or possessions taken;</w:t>
      </w:r>
    </w:p>
    <w:p w14:paraId="768DE647"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(vii)   plea of guilty, the significance of which is limited by a strong Crown case.</w:t>
      </w:r>
    </w:p>
    <w:p w14:paraId="3CC820B0"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The present offence falls broadly within those characteristics, except the offender is not young - he is now 39 - and he has a very extensive criminal history, which I will come to shortly.</w:t>
      </w:r>
    </w:p>
    <w:p w14:paraId="649AD32E"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My assessment of the level of seriousness of the offence will be obvious from what I have just outlined. Therefore I do not propose to ascribe a label as to where on a notional scale of objective gravity this offence falls. It is now well established that that is not required.”</w:t>
      </w:r>
    </w:p>
    <w:p w14:paraId="22A48459"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lastRenderedPageBreak/>
        <w:t>29</w:t>
      </w:r>
      <w:r>
        <w:rPr>
          <w:rFonts w:ascii="Arial" w:hAnsi="Arial" w:cs="Arial"/>
          <w:kern w:val="0"/>
          <w:lang w:val="en-GB"/>
        </w:rPr>
        <w:tab/>
        <w:t xml:space="preserve">In the District Court, the prosecution accepted that the appellant’s mental health conditions made him an inappropriate vehicle for general deterrence. Her Honour acknowledged the appellant’s diagnosis of schizophrenia and stated that Dr Dayalan’s evidence that methamphetamine is well known to exacerbate psychotic illness did not excuse his actions, but provided some explanation. Her Honour referred to the absence of direct influence of psychotic symptoms on his actions, but close correlation between substance use and offending behaviour, and stated “Where the offender’s use of drugs is closely linked to his mental health problems, his moral culpability is reduced to some extent.” Her Honour held that protection of the community remained an important factor in the sentencing exercise. Her Honour stated that specific and general deterrence were moderated due to the appellant’s mental health issues.  </w:t>
      </w:r>
    </w:p>
    <w:p w14:paraId="1C760EB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30</w:t>
      </w:r>
      <w:r>
        <w:rPr>
          <w:rFonts w:ascii="Arial" w:hAnsi="Arial" w:cs="Arial"/>
          <w:kern w:val="0"/>
          <w:lang w:val="en-GB"/>
        </w:rPr>
        <w:tab/>
        <w:t xml:space="preserve">Her Honour acknowledged the appellant’s report to Dr Dayalan of a particular traumatic aspect of his background, and stated that this matter was taken into account. Her Honour stated again at the end of her sentencing judgment that she had taken his subjective case into account. </w:t>
      </w:r>
    </w:p>
    <w:p w14:paraId="782062A4"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31</w:t>
      </w:r>
      <w:r>
        <w:rPr>
          <w:rFonts w:ascii="Arial" w:hAnsi="Arial" w:cs="Arial"/>
          <w:kern w:val="0"/>
          <w:lang w:val="en-GB"/>
        </w:rPr>
        <w:tab/>
        <w:t xml:space="preserve">Her Honour noted that it was an aggravating factor that the appellant was subject to three forms of conditional liberty. It was found to be unrealistic to be anything other than guarded about the appellant’s prospects of rehabilitation and likelihood of reoffending, given his criminal record and history of breaching conditional liberty orders. Her Honour found the appellant to be institutionalised. </w:t>
      </w:r>
    </w:p>
    <w:p w14:paraId="0D7522B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32</w:t>
      </w:r>
      <w:r>
        <w:rPr>
          <w:rFonts w:ascii="Arial" w:hAnsi="Arial" w:cs="Arial"/>
          <w:kern w:val="0"/>
          <w:lang w:val="en-GB"/>
        </w:rPr>
        <w:tab/>
        <w:t xml:space="preserve">As noted a 25% discount for the guilty plea was afforded – indicating a starting point prior to such discount of 5 years 4 months, at the upper end of the range identified by her Honour as suggested by the </w:t>
      </w:r>
      <w:r>
        <w:rPr>
          <w:rFonts w:ascii="Arial" w:hAnsi="Arial" w:cs="Arial"/>
          <w:i/>
          <w:iCs/>
          <w:kern w:val="0"/>
          <w:lang w:val="en-GB"/>
        </w:rPr>
        <w:t>Henry</w:t>
      </w:r>
      <w:r>
        <w:rPr>
          <w:rFonts w:ascii="Arial" w:hAnsi="Arial" w:cs="Arial"/>
          <w:kern w:val="0"/>
          <w:lang w:val="en-GB"/>
        </w:rPr>
        <w:t xml:space="preserve"> guideline, with the variable of the stage of the guilty plea removed. Special circumstances were found because the appellant and community will benefit from him having a longer period of structured supervision while on parole. The paragraph from Dr Dayalan’s report referred to above at [26] was expressly taken into account by her Honour in making this finding of special circumstances to vary the ratio between the non-parole period and total sentence; and as noted above her Honour had accepted Dr Dayalan’s evidence that the appellant is institutionalised.</w:t>
      </w:r>
    </w:p>
    <w:p w14:paraId="61C0B68B"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33</w:t>
      </w:r>
      <w:r>
        <w:rPr>
          <w:rFonts w:ascii="Arial" w:hAnsi="Arial" w:cs="Arial"/>
          <w:kern w:val="0"/>
          <w:lang w:val="en-GB"/>
        </w:rPr>
        <w:tab/>
        <w:t xml:space="preserve">Her Honour acknowledged that parole was revoked, effective from the date of </w:t>
      </w:r>
      <w:r>
        <w:rPr>
          <w:rFonts w:ascii="Arial" w:hAnsi="Arial" w:cs="Arial"/>
          <w:kern w:val="0"/>
          <w:lang w:val="en-GB"/>
        </w:rPr>
        <w:lastRenderedPageBreak/>
        <w:t>arrest on 17 November 2023, and that it expired on 17 January 2024. Her Honour selected the date between these of 18 December 2023 for the commencement of the sentence.</w:t>
      </w:r>
    </w:p>
    <w:p w14:paraId="3927CEF5" w14:textId="77777777" w:rsidR="006C7785" w:rsidRDefault="006C7785">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The parties’ submissions</w:t>
      </w:r>
    </w:p>
    <w:p w14:paraId="473B6C6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34</w:t>
      </w:r>
      <w:r>
        <w:rPr>
          <w:rFonts w:ascii="Arial" w:hAnsi="Arial" w:cs="Arial"/>
          <w:kern w:val="0"/>
          <w:lang w:val="en-GB"/>
        </w:rPr>
        <w:tab/>
        <w:t>As outlined above, the appellant’s first ground of appeal, asserting error in assessment of objective seriousness, was argued in three ways.</w:t>
      </w:r>
    </w:p>
    <w:p w14:paraId="4DB9F49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35</w:t>
      </w:r>
      <w:r>
        <w:rPr>
          <w:rFonts w:ascii="Arial" w:hAnsi="Arial" w:cs="Arial"/>
          <w:kern w:val="0"/>
          <w:lang w:val="en-GB"/>
        </w:rPr>
        <w:tab/>
        <w:t xml:space="preserve">In support of the first of these, ground 1(i), asserting erroneous application of </w:t>
      </w:r>
      <w:r>
        <w:rPr>
          <w:rFonts w:ascii="Arial" w:hAnsi="Arial" w:cs="Arial"/>
          <w:i/>
          <w:iCs/>
          <w:kern w:val="0"/>
          <w:lang w:val="en-GB"/>
        </w:rPr>
        <w:t xml:space="preserve">R v Henry </w:t>
      </w:r>
      <w:r>
        <w:rPr>
          <w:rFonts w:ascii="Arial" w:hAnsi="Arial" w:cs="Arial"/>
          <w:kern w:val="0"/>
          <w:lang w:val="en-GB"/>
        </w:rPr>
        <w:t>(1999) 46 NSWLR 346; [1999] NSWCCA 111 (“</w:t>
      </w:r>
      <w:r>
        <w:rPr>
          <w:rFonts w:ascii="Arial" w:hAnsi="Arial" w:cs="Arial"/>
          <w:i/>
          <w:iCs/>
          <w:kern w:val="0"/>
          <w:lang w:val="en-GB"/>
        </w:rPr>
        <w:t>Henry</w:t>
      </w:r>
      <w:r>
        <w:rPr>
          <w:rFonts w:ascii="Arial" w:hAnsi="Arial" w:cs="Arial"/>
          <w:kern w:val="0"/>
          <w:lang w:val="en-GB"/>
        </w:rPr>
        <w:t>”</w:t>
      </w:r>
      <w:r>
        <w:rPr>
          <w:rFonts w:ascii="Arial" w:hAnsi="Arial" w:cs="Arial"/>
          <w:i/>
          <w:iCs/>
          <w:kern w:val="0"/>
          <w:lang w:val="en-GB"/>
        </w:rPr>
        <w:t>)</w:t>
      </w:r>
      <w:r>
        <w:rPr>
          <w:rFonts w:ascii="Arial" w:hAnsi="Arial" w:cs="Arial"/>
          <w:kern w:val="0"/>
          <w:lang w:val="en-GB"/>
        </w:rPr>
        <w:t xml:space="preserve"> to the sentencing task, it was submitted that the seven </w:t>
      </w:r>
      <w:r>
        <w:rPr>
          <w:rFonts w:ascii="Arial" w:hAnsi="Arial" w:cs="Arial"/>
          <w:i/>
          <w:iCs/>
          <w:kern w:val="0"/>
          <w:lang w:val="en-GB"/>
        </w:rPr>
        <w:t>Henry</w:t>
      </w:r>
      <w:r>
        <w:rPr>
          <w:rFonts w:ascii="Arial" w:hAnsi="Arial" w:cs="Arial"/>
          <w:kern w:val="0"/>
          <w:lang w:val="en-GB"/>
        </w:rPr>
        <w:t xml:space="preserve"> characteristics (as quoted in her Honour’s sentencing judgment, above at [28]) are not a guideline or proxy for criteria relevant to a finding of objective seriousness. As they do not all relate to objective seriousness, but include the offender’s age, criminal antecedents, and plea, assessment of objective circumstances by reference to these criteria was submitted to demonstrate error.</w:t>
      </w:r>
    </w:p>
    <w:p w14:paraId="71E86060"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36</w:t>
      </w:r>
      <w:r>
        <w:rPr>
          <w:rFonts w:ascii="Arial" w:hAnsi="Arial" w:cs="Arial"/>
          <w:kern w:val="0"/>
          <w:lang w:val="en-GB"/>
        </w:rPr>
        <w:tab/>
        <w:t xml:space="preserve">Reliance was placed upon the decision of this Court in </w:t>
      </w:r>
      <w:r>
        <w:rPr>
          <w:rFonts w:ascii="Arial" w:hAnsi="Arial" w:cs="Arial"/>
          <w:i/>
          <w:iCs/>
          <w:kern w:val="0"/>
          <w:lang w:val="en-GB"/>
        </w:rPr>
        <w:t>Towers v R</w:t>
      </w:r>
      <w:r>
        <w:rPr>
          <w:rFonts w:ascii="Arial" w:hAnsi="Arial" w:cs="Arial"/>
          <w:kern w:val="0"/>
          <w:lang w:val="en-GB"/>
        </w:rPr>
        <w:t xml:space="preserve"> [2025] NSWCCA 142 (“</w:t>
      </w:r>
      <w:r>
        <w:rPr>
          <w:rFonts w:ascii="Arial" w:hAnsi="Arial" w:cs="Arial"/>
          <w:i/>
          <w:iCs/>
          <w:kern w:val="0"/>
          <w:lang w:val="en-GB"/>
        </w:rPr>
        <w:t>Towers</w:t>
      </w:r>
      <w:r>
        <w:rPr>
          <w:rFonts w:ascii="Arial" w:hAnsi="Arial" w:cs="Arial"/>
          <w:kern w:val="0"/>
          <w:lang w:val="en-GB"/>
        </w:rPr>
        <w:t xml:space="preserve">”), in which it was held that the sentencing judge erred in taking into account subjective matters, namely the age and criminal antecedents of the applicant, in his assessment of objective seriousness for the aggravated steal from person offence: </w:t>
      </w:r>
      <w:r>
        <w:rPr>
          <w:rFonts w:ascii="Arial" w:hAnsi="Arial" w:cs="Arial"/>
          <w:i/>
          <w:iCs/>
          <w:kern w:val="0"/>
          <w:lang w:val="en-GB"/>
        </w:rPr>
        <w:t>Towers</w:t>
      </w:r>
      <w:r>
        <w:rPr>
          <w:rFonts w:ascii="Arial" w:hAnsi="Arial" w:cs="Arial"/>
          <w:kern w:val="0"/>
          <w:lang w:val="en-GB"/>
        </w:rPr>
        <w:t xml:space="preserve"> at [60]-[77] (Coleman J, N Adams and Sweeney JJ agreeing).</w:t>
      </w:r>
    </w:p>
    <w:p w14:paraId="7AC62CD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37</w:t>
      </w:r>
      <w:r>
        <w:rPr>
          <w:rFonts w:ascii="Arial" w:hAnsi="Arial" w:cs="Arial"/>
          <w:kern w:val="0"/>
          <w:lang w:val="en-GB"/>
        </w:rPr>
        <w:tab/>
        <w:t xml:space="preserve">The second way in which the appellant contended that the sentencing judge erred in her assessment of the objective seriousness of the offending was in an asserted failure to disclose such assessment (ground 1(ii)), as no express or implied finding of objective seriousness is disclosed by a comparison or contrast with </w:t>
      </w:r>
      <w:r>
        <w:rPr>
          <w:rFonts w:ascii="Arial" w:hAnsi="Arial" w:cs="Arial"/>
          <w:i/>
          <w:iCs/>
          <w:kern w:val="0"/>
          <w:lang w:val="en-GB"/>
        </w:rPr>
        <w:t>Henry</w:t>
      </w:r>
      <w:r>
        <w:rPr>
          <w:rFonts w:ascii="Arial" w:hAnsi="Arial" w:cs="Arial"/>
          <w:kern w:val="0"/>
          <w:lang w:val="en-GB"/>
        </w:rPr>
        <w:t xml:space="preserve">. While the Court in </w:t>
      </w:r>
      <w:r>
        <w:rPr>
          <w:rFonts w:ascii="Arial" w:hAnsi="Arial" w:cs="Arial"/>
          <w:i/>
          <w:iCs/>
          <w:kern w:val="0"/>
          <w:lang w:val="en-GB"/>
        </w:rPr>
        <w:t>Henry</w:t>
      </w:r>
      <w:r>
        <w:rPr>
          <w:rFonts w:ascii="Arial" w:hAnsi="Arial" w:cs="Arial"/>
          <w:kern w:val="0"/>
          <w:lang w:val="en-GB"/>
        </w:rPr>
        <w:t xml:space="preserve"> referred generally to the seriousness of armed robbery, it did not make a finding of objective seriousness of the specific armed robbery scenario reflected in the frequently recurring case. It is not as though the </w:t>
      </w:r>
      <w:r>
        <w:rPr>
          <w:rFonts w:ascii="Arial" w:hAnsi="Arial" w:cs="Arial"/>
          <w:i/>
          <w:iCs/>
          <w:kern w:val="0"/>
          <w:lang w:val="en-GB"/>
        </w:rPr>
        <w:t>Henry</w:t>
      </w:r>
      <w:r>
        <w:rPr>
          <w:rFonts w:ascii="Arial" w:hAnsi="Arial" w:cs="Arial"/>
          <w:kern w:val="0"/>
          <w:lang w:val="en-GB"/>
        </w:rPr>
        <w:t xml:space="preserve"> scenario is known to be “mid-point” or “above mid-point”, such that reference to </w:t>
      </w:r>
      <w:r>
        <w:rPr>
          <w:rFonts w:ascii="Arial" w:hAnsi="Arial" w:cs="Arial"/>
          <w:i/>
          <w:iCs/>
          <w:kern w:val="0"/>
          <w:lang w:val="en-GB"/>
        </w:rPr>
        <w:t>Henry</w:t>
      </w:r>
      <w:r>
        <w:rPr>
          <w:rFonts w:ascii="Arial" w:hAnsi="Arial" w:cs="Arial"/>
          <w:kern w:val="0"/>
          <w:lang w:val="en-GB"/>
        </w:rPr>
        <w:t xml:space="preserve"> necessarily reveals the assessment of the level of objective seriousness. That is, a reference to the extent to which the appellant’s offending compares to the </w:t>
      </w:r>
      <w:r>
        <w:rPr>
          <w:rFonts w:ascii="Arial" w:hAnsi="Arial" w:cs="Arial"/>
          <w:i/>
          <w:iCs/>
          <w:kern w:val="0"/>
          <w:lang w:val="en-GB"/>
        </w:rPr>
        <w:t>Henry</w:t>
      </w:r>
      <w:r>
        <w:rPr>
          <w:rFonts w:ascii="Arial" w:hAnsi="Arial" w:cs="Arial"/>
          <w:kern w:val="0"/>
          <w:lang w:val="en-GB"/>
        </w:rPr>
        <w:t xml:space="preserve"> criteria was submitted to not reveal that an assessment of objective seriousness has been made, nor what it is. </w:t>
      </w:r>
    </w:p>
    <w:p w14:paraId="1FB26E59"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lastRenderedPageBreak/>
        <w:t>38</w:t>
      </w:r>
      <w:r>
        <w:rPr>
          <w:rFonts w:ascii="Arial" w:hAnsi="Arial" w:cs="Arial"/>
          <w:kern w:val="0"/>
          <w:lang w:val="en-GB"/>
        </w:rPr>
        <w:tab/>
        <w:t xml:space="preserve">Further, even if her Honour could be taken to have been referring to her Honour’s earlier summary of the facts for sentence rather than the </w:t>
      </w:r>
      <w:r>
        <w:rPr>
          <w:rFonts w:ascii="Arial" w:hAnsi="Arial" w:cs="Arial"/>
          <w:i/>
          <w:iCs/>
          <w:kern w:val="0"/>
          <w:lang w:val="en-GB"/>
        </w:rPr>
        <w:t>Henry</w:t>
      </w:r>
      <w:r>
        <w:rPr>
          <w:rFonts w:ascii="Arial" w:hAnsi="Arial" w:cs="Arial"/>
          <w:kern w:val="0"/>
          <w:lang w:val="en-GB"/>
        </w:rPr>
        <w:t xml:space="preserve"> criteria she had just summarised and compared to the offence before her (which was not accepted), this was contended to not make her Honour’s assessment of objective seriousness “obvious”, as her Honour had said it did (above at [28]). In this respect the applicant quoted and relied upon the decision of this Court in </w:t>
      </w:r>
      <w:r>
        <w:rPr>
          <w:rFonts w:ascii="Arial" w:hAnsi="Arial" w:cs="Arial"/>
          <w:i/>
          <w:iCs/>
          <w:kern w:val="0"/>
          <w:lang w:val="en-GB"/>
        </w:rPr>
        <w:t>Baydoun v R</w:t>
      </w:r>
      <w:r>
        <w:rPr>
          <w:rFonts w:ascii="Arial" w:hAnsi="Arial" w:cs="Arial"/>
          <w:kern w:val="0"/>
          <w:lang w:val="en-GB"/>
        </w:rPr>
        <w:t xml:space="preserve"> [2024] NSWCCA 65 (“</w:t>
      </w:r>
      <w:r>
        <w:rPr>
          <w:rFonts w:ascii="Arial" w:hAnsi="Arial" w:cs="Arial"/>
          <w:i/>
          <w:iCs/>
          <w:kern w:val="0"/>
          <w:lang w:val="en-GB"/>
        </w:rPr>
        <w:t>Baydoun</w:t>
      </w:r>
      <w:r>
        <w:rPr>
          <w:rFonts w:ascii="Arial" w:hAnsi="Arial" w:cs="Arial"/>
          <w:kern w:val="0"/>
          <w:lang w:val="en-GB"/>
        </w:rPr>
        <w:t>”) per Chen J at [43], Wilson and Huggett JJ agreeing as follows:</w:t>
      </w:r>
    </w:p>
    <w:p w14:paraId="1B402221"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 xml:space="preserve">“It is well settled that a ‘bare recitation of the facts constituting the offences and a reference to the ‘objective features of the offences’ does not satisfy the requirements of sentencing’: </w:t>
      </w:r>
      <w:r>
        <w:rPr>
          <w:rFonts w:ascii="Arial" w:hAnsi="Arial" w:cs="Arial"/>
          <w:i/>
          <w:iCs/>
          <w:kern w:val="0"/>
          <w:sz w:val="22"/>
          <w:szCs w:val="22"/>
          <w:lang w:val="en-GB"/>
        </w:rPr>
        <w:t>R v Cage</w:t>
      </w:r>
      <w:r>
        <w:rPr>
          <w:rFonts w:ascii="Arial" w:hAnsi="Arial" w:cs="Arial"/>
          <w:kern w:val="0"/>
          <w:sz w:val="22"/>
          <w:szCs w:val="22"/>
          <w:lang w:val="en-GB"/>
        </w:rPr>
        <w:t xml:space="preserve"> [2006] NSWCCA 304 at [17]. It necessarily follows that a bare recitation of the facts constituting the offending … and no reference to the ‘objective features of the offence’, … would equally not satisfy the requirements of sentencing.”</w:t>
      </w:r>
    </w:p>
    <w:p w14:paraId="0669FEA5"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39</w:t>
      </w:r>
      <w:r>
        <w:rPr>
          <w:rFonts w:ascii="Arial" w:hAnsi="Arial" w:cs="Arial"/>
          <w:kern w:val="0"/>
          <w:lang w:val="en-GB"/>
        </w:rPr>
        <w:tab/>
        <w:t>It was submitted to be necessary for the sentencing judge to make clear evaluations of such matters as objective seriousness, with her Honour’s failure to do so rendering it necessary for this Court to undertake the task itself.</w:t>
      </w:r>
    </w:p>
    <w:p w14:paraId="2B5AAB54"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40</w:t>
      </w:r>
      <w:r>
        <w:rPr>
          <w:rFonts w:ascii="Arial" w:hAnsi="Arial" w:cs="Arial"/>
          <w:kern w:val="0"/>
          <w:lang w:val="en-GB"/>
        </w:rPr>
        <w:tab/>
        <w:t xml:space="preserve">The third way in which the assessment of objective seriousness was submitted to have been erroneous was with respect to the weapon used, and the assessment of how this compared to the </w:t>
      </w:r>
      <w:r>
        <w:rPr>
          <w:rFonts w:ascii="Arial" w:hAnsi="Arial" w:cs="Arial"/>
          <w:i/>
          <w:iCs/>
          <w:kern w:val="0"/>
          <w:lang w:val="en-GB"/>
        </w:rPr>
        <w:t>Henry</w:t>
      </w:r>
      <w:r>
        <w:rPr>
          <w:rFonts w:ascii="Arial" w:hAnsi="Arial" w:cs="Arial"/>
          <w:kern w:val="0"/>
          <w:lang w:val="en-GB"/>
        </w:rPr>
        <w:t xml:space="preserve"> criteria, which was wrong in fact. Her Honour assessed that the offending differed from that outlined in the </w:t>
      </w:r>
      <w:r>
        <w:rPr>
          <w:rFonts w:ascii="Arial" w:hAnsi="Arial" w:cs="Arial"/>
          <w:i/>
          <w:iCs/>
          <w:kern w:val="0"/>
          <w:lang w:val="en-GB"/>
        </w:rPr>
        <w:t xml:space="preserve">Henry </w:t>
      </w:r>
      <w:r>
        <w:rPr>
          <w:rFonts w:ascii="Arial" w:hAnsi="Arial" w:cs="Arial"/>
          <w:kern w:val="0"/>
          <w:lang w:val="en-GB"/>
        </w:rPr>
        <w:t>guideline only by reference to the appellant’s greater age and worse criminal antecedents (that is, unfavourably). It was accordingly submitted that her Honour implicitly accepted that the appellant was armed with an offensive weapon “like a knife, capable of killing or inflicting serious injury”.</w:t>
      </w:r>
    </w:p>
    <w:p w14:paraId="506B6F8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41</w:t>
      </w:r>
      <w:r>
        <w:rPr>
          <w:rFonts w:ascii="Arial" w:hAnsi="Arial" w:cs="Arial"/>
          <w:kern w:val="0"/>
          <w:lang w:val="en-GB"/>
        </w:rPr>
        <w:tab/>
        <w:t xml:space="preserve">The lighter was emphasised to be unlike a knife, an extremely serious form of offensive weapon - knives in some cases being considered worse than guns because they are “always loaded,” citing </w:t>
      </w:r>
      <w:r>
        <w:rPr>
          <w:rFonts w:ascii="Arial" w:hAnsi="Arial" w:cs="Arial"/>
          <w:i/>
          <w:iCs/>
          <w:kern w:val="0"/>
          <w:lang w:val="en-GB"/>
        </w:rPr>
        <w:t>R v Campbell</w:t>
      </w:r>
      <w:r>
        <w:rPr>
          <w:rFonts w:ascii="Arial" w:hAnsi="Arial" w:cs="Arial"/>
          <w:kern w:val="0"/>
          <w:lang w:val="en-GB"/>
        </w:rPr>
        <w:t xml:space="preserve"> [2010] ACTCA 20 at [38]. A finding of the lighter as broadly comparable to a weapon like a knife, capable of killing or inflicting serious injury, was submitted to not be open to her Honour.</w:t>
      </w:r>
    </w:p>
    <w:p w14:paraId="44A1BEB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42</w:t>
      </w:r>
      <w:r>
        <w:rPr>
          <w:rFonts w:ascii="Arial" w:hAnsi="Arial" w:cs="Arial"/>
          <w:kern w:val="0"/>
          <w:lang w:val="en-GB"/>
        </w:rPr>
        <w:tab/>
        <w:t xml:space="preserve">The respondent contended that there could be no doubt that the </w:t>
      </w:r>
      <w:r>
        <w:rPr>
          <w:rFonts w:ascii="Arial" w:hAnsi="Arial" w:cs="Arial"/>
          <w:i/>
          <w:iCs/>
          <w:kern w:val="0"/>
          <w:lang w:val="en-GB"/>
        </w:rPr>
        <w:t>Henry</w:t>
      </w:r>
      <w:r>
        <w:rPr>
          <w:rFonts w:ascii="Arial" w:hAnsi="Arial" w:cs="Arial"/>
          <w:kern w:val="0"/>
          <w:lang w:val="en-GB"/>
        </w:rPr>
        <w:t xml:space="preserve"> guideline was applicable in the present case, being an offence of robbery armed with an offensive weapon. It was submitted that there was no possible error in considering the weapon, degree of planning, degree of possible or actual violence, </w:t>
      </w:r>
      <w:r>
        <w:rPr>
          <w:rFonts w:ascii="Arial" w:hAnsi="Arial" w:cs="Arial"/>
          <w:kern w:val="0"/>
          <w:lang w:val="en-GB"/>
        </w:rPr>
        <w:lastRenderedPageBreak/>
        <w:t>vulnerability of the victim, and value of the property stolen in an assessment of objective seriousness of the offence, such that ground 1(i) should be rejected.</w:t>
      </w:r>
    </w:p>
    <w:p w14:paraId="0C1D7ECB"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43</w:t>
      </w:r>
      <w:r>
        <w:rPr>
          <w:rFonts w:ascii="Arial" w:hAnsi="Arial" w:cs="Arial"/>
          <w:kern w:val="0"/>
          <w:lang w:val="en-GB"/>
        </w:rPr>
        <w:tab/>
        <w:t>There was submitted to be no prospect that the judge had included the appellant’s age and criminal antecedents as bearing upon the objective gravity of the offence.</w:t>
      </w:r>
    </w:p>
    <w:p w14:paraId="6295FA3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44</w:t>
      </w:r>
      <w:r>
        <w:rPr>
          <w:rFonts w:ascii="Arial" w:hAnsi="Arial" w:cs="Arial"/>
          <w:kern w:val="0"/>
          <w:lang w:val="en-GB"/>
        </w:rPr>
        <w:tab/>
        <w:t xml:space="preserve">It was submitted in respect of ground 1(ii) that the sentencing judge’s findings in relation to the objective gravity of the offending were sufficiently clear or, as her Honour had said, “obvious,” through a combination of: setting out the facts, including a description of the level of threatened violence, the value of property stolen, the offensive weapon used, and the position of the victim; setting out the </w:t>
      </w:r>
      <w:r>
        <w:rPr>
          <w:rFonts w:ascii="Arial" w:hAnsi="Arial" w:cs="Arial"/>
          <w:i/>
          <w:iCs/>
          <w:kern w:val="0"/>
          <w:lang w:val="en-GB"/>
        </w:rPr>
        <w:t>Henry</w:t>
      </w:r>
      <w:r>
        <w:rPr>
          <w:rFonts w:ascii="Arial" w:hAnsi="Arial" w:cs="Arial"/>
          <w:kern w:val="0"/>
          <w:lang w:val="en-GB"/>
        </w:rPr>
        <w:t xml:space="preserve"> characteristics; and finding “[t]he present offence falls broadly within those characteristics.” Because of this, the sentencing remarks were not a bare recitation of the facts of the offending, unlike the case in </w:t>
      </w:r>
      <w:r>
        <w:rPr>
          <w:rFonts w:ascii="Arial" w:hAnsi="Arial" w:cs="Arial"/>
          <w:i/>
          <w:iCs/>
          <w:kern w:val="0"/>
          <w:lang w:val="en-GB"/>
        </w:rPr>
        <w:t>Baydoun</w:t>
      </w:r>
      <w:r>
        <w:rPr>
          <w:rFonts w:ascii="Times New Roman" w:hAnsi="Times New Roman" w:cs="Times New Roman"/>
          <w:kern w:val="0"/>
          <w:lang w:val="en-GB"/>
        </w:rPr>
        <w:t>.</w:t>
      </w:r>
    </w:p>
    <w:p w14:paraId="2EAC692B"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45</w:t>
      </w:r>
      <w:r>
        <w:rPr>
          <w:rFonts w:ascii="Arial" w:hAnsi="Arial" w:cs="Arial"/>
          <w:kern w:val="0"/>
          <w:lang w:val="en-GB"/>
        </w:rPr>
        <w:tab/>
        <w:t xml:space="preserve">With respect to her Honour’s assessment of the weapon, the respondent noted that the victim thought the object was shaped like a gun and was fearful. There was thus submitted to be no error in her Honour finding the offence to be “broadly” within the </w:t>
      </w:r>
      <w:r>
        <w:rPr>
          <w:rFonts w:ascii="Arial" w:hAnsi="Arial" w:cs="Arial"/>
          <w:i/>
          <w:iCs/>
          <w:kern w:val="0"/>
          <w:lang w:val="en-GB"/>
        </w:rPr>
        <w:t>Henry</w:t>
      </w:r>
      <w:r>
        <w:rPr>
          <w:rFonts w:ascii="Arial" w:hAnsi="Arial" w:cs="Arial"/>
          <w:kern w:val="0"/>
          <w:lang w:val="en-GB"/>
        </w:rPr>
        <w:t xml:space="preserve"> guideline, including by reference to the nature of the weapon. </w:t>
      </w:r>
    </w:p>
    <w:p w14:paraId="274B6D04" w14:textId="77777777" w:rsidR="006C7785" w:rsidRDefault="006C7785">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Determination</w:t>
      </w:r>
    </w:p>
    <w:p w14:paraId="13A1F67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46</w:t>
      </w:r>
      <w:r>
        <w:rPr>
          <w:rFonts w:ascii="Arial" w:hAnsi="Arial" w:cs="Arial"/>
          <w:kern w:val="0"/>
          <w:lang w:val="en-GB"/>
        </w:rPr>
        <w:tab/>
      </w:r>
      <w:commentRangeStart w:id="12"/>
      <w:r w:rsidRPr="002B5896">
        <w:rPr>
          <w:rFonts w:ascii="Arial" w:hAnsi="Arial" w:cs="Arial"/>
          <w:kern w:val="0"/>
          <w:highlight w:val="darkGray"/>
          <w:lang w:val="en-GB"/>
        </w:rPr>
        <w:t>Ground 1 has been made out.</w:t>
      </w:r>
      <w:r>
        <w:rPr>
          <w:rFonts w:ascii="Arial" w:hAnsi="Arial" w:cs="Arial"/>
          <w:kern w:val="0"/>
          <w:lang w:val="en-GB"/>
        </w:rPr>
        <w:t xml:space="preserve"> </w:t>
      </w:r>
      <w:commentRangeEnd w:id="12"/>
      <w:r w:rsidR="002B5896">
        <w:rPr>
          <w:rStyle w:val="CommentReference"/>
        </w:rPr>
        <w:commentReference w:id="12"/>
      </w:r>
      <w:r>
        <w:rPr>
          <w:rFonts w:ascii="Arial" w:hAnsi="Arial" w:cs="Arial"/>
          <w:kern w:val="0"/>
          <w:lang w:val="en-GB"/>
        </w:rPr>
        <w:t xml:space="preserve">The three sub-grounds are related to one another but in my view ground 1(iii), as argued for the appellant, demonstrates error most clearly (and there is no error at all in relation to ground 1(i)). The appellant argued this sub-ground accepting the burden of demonstrating her Honour’s factual determination was not open, and has done so. </w:t>
      </w:r>
      <w:commentRangeStart w:id="13"/>
      <w:r w:rsidRPr="002B5896">
        <w:rPr>
          <w:rFonts w:ascii="Arial" w:hAnsi="Arial" w:cs="Arial"/>
          <w:kern w:val="0"/>
          <w:highlight w:val="magenta"/>
          <w:lang w:val="en-GB"/>
        </w:rPr>
        <w:t>The weapon involved in this case was so significantly different from the type of weapon contemplated by the guideline judgment that her Honour erred in her assessment of objective seriousness</w:t>
      </w:r>
      <w:commentRangeEnd w:id="13"/>
      <w:r w:rsidR="002B5896">
        <w:rPr>
          <w:rStyle w:val="CommentReference"/>
        </w:rPr>
        <w:commentReference w:id="13"/>
      </w:r>
      <w:r>
        <w:rPr>
          <w:rFonts w:ascii="Arial" w:hAnsi="Arial" w:cs="Arial"/>
          <w:kern w:val="0"/>
          <w:lang w:val="en-GB"/>
        </w:rPr>
        <w:t xml:space="preserve">, by reference to the nature of the weapon, in stating that the case fell broadly within the </w:t>
      </w:r>
      <w:r>
        <w:rPr>
          <w:rFonts w:ascii="Arial" w:hAnsi="Arial" w:cs="Arial"/>
          <w:i/>
          <w:iCs/>
          <w:kern w:val="0"/>
          <w:lang w:val="en-GB"/>
        </w:rPr>
        <w:t>Henry</w:t>
      </w:r>
      <w:r>
        <w:rPr>
          <w:rFonts w:ascii="Arial" w:hAnsi="Arial" w:cs="Arial"/>
          <w:kern w:val="0"/>
          <w:lang w:val="en-GB"/>
        </w:rPr>
        <w:t xml:space="preserve"> characteristics (specifically noting difference in relation only to the criminal history and age of the appellant, and his earlier plea).</w:t>
      </w:r>
    </w:p>
    <w:p w14:paraId="4779F08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47</w:t>
      </w:r>
      <w:r>
        <w:rPr>
          <w:rFonts w:ascii="Arial" w:hAnsi="Arial" w:cs="Arial"/>
          <w:kern w:val="0"/>
          <w:lang w:val="en-GB"/>
        </w:rPr>
        <w:tab/>
        <w:t xml:space="preserve">I am relatedly of the view that the degree of violence in this case was markedly less than contemplated in the guideline judgment – a point argued more explicitly by the appellant in support of the complaint of manifest excess. The </w:t>
      </w:r>
      <w:r>
        <w:rPr>
          <w:rFonts w:ascii="Arial" w:hAnsi="Arial" w:cs="Arial"/>
          <w:kern w:val="0"/>
          <w:lang w:val="en-GB"/>
        </w:rPr>
        <w:lastRenderedPageBreak/>
        <w:t xml:space="preserve">weapon and the way it was used was neither capable of killing or causing grievous bodily harm, nor any more frightening than necessary to make out the elements of the offence. </w:t>
      </w:r>
    </w:p>
    <w:p w14:paraId="2C0E3494"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48</w:t>
      </w:r>
      <w:r>
        <w:rPr>
          <w:rFonts w:ascii="Arial" w:hAnsi="Arial" w:cs="Arial"/>
          <w:kern w:val="0"/>
          <w:lang w:val="en-GB"/>
        </w:rPr>
        <w:tab/>
        <w:t>To be guilty of robbery, property of another must be taken by actual violence or by putting the owner or person in lawful possession in fear of actual violence. The offence to which the appellant pleaded guilty involved doing so whilst armed with an offensive weapon.</w:t>
      </w:r>
    </w:p>
    <w:p w14:paraId="3803E610" w14:textId="77777777" w:rsidR="006C7785" w:rsidRPr="002B5896" w:rsidRDefault="006C7785" w:rsidP="00A4684F">
      <w:pPr>
        <w:widowControl w:val="0"/>
        <w:autoSpaceDE w:val="0"/>
        <w:autoSpaceDN w:val="0"/>
        <w:adjustRightInd w:val="0"/>
        <w:spacing w:before="150" w:after="0" w:line="360" w:lineRule="auto"/>
        <w:ind w:right="-6"/>
        <w:rPr>
          <w:rFonts w:ascii="Times New Roman" w:hAnsi="Times New Roman" w:cs="Times New Roman"/>
          <w:kern w:val="0"/>
          <w:highlight w:val="darkCyan"/>
          <w:lang w:val="en-GB"/>
        </w:rPr>
      </w:pPr>
      <w:r>
        <w:rPr>
          <w:rFonts w:ascii="Arial" w:hAnsi="Arial" w:cs="Arial"/>
          <w:kern w:val="0"/>
          <w:lang w:val="en-GB"/>
        </w:rPr>
        <w:t>49</w:t>
      </w:r>
      <w:r>
        <w:rPr>
          <w:rFonts w:ascii="Arial" w:hAnsi="Arial" w:cs="Arial"/>
          <w:kern w:val="0"/>
          <w:lang w:val="en-GB"/>
        </w:rPr>
        <w:tab/>
      </w:r>
      <w:commentRangeStart w:id="14"/>
      <w:r w:rsidRPr="002B5896">
        <w:rPr>
          <w:rFonts w:ascii="Arial" w:hAnsi="Arial" w:cs="Arial"/>
          <w:kern w:val="0"/>
          <w:highlight w:val="darkCyan"/>
          <w:lang w:val="en-GB"/>
        </w:rPr>
        <w:t xml:space="preserve">According to s 4 of the </w:t>
      </w:r>
      <w:r w:rsidRPr="002B5896">
        <w:rPr>
          <w:rFonts w:ascii="Arial" w:hAnsi="Arial" w:cs="Arial"/>
          <w:i/>
          <w:iCs/>
          <w:kern w:val="0"/>
          <w:highlight w:val="darkCyan"/>
          <w:lang w:val="en-GB"/>
        </w:rPr>
        <w:t>Crimes Act</w:t>
      </w:r>
      <w:r w:rsidRPr="002B5896">
        <w:rPr>
          <w:rFonts w:ascii="Arial" w:hAnsi="Arial" w:cs="Arial"/>
          <w:kern w:val="0"/>
          <w:highlight w:val="darkCyan"/>
          <w:lang w:val="en-GB"/>
        </w:rPr>
        <w:t>:</w:t>
      </w:r>
    </w:p>
    <w:p w14:paraId="089DB48E" w14:textId="77777777" w:rsidR="006C7785" w:rsidRPr="002B5896"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highlight w:val="darkCyan"/>
          <w:lang w:val="en-GB"/>
        </w:rPr>
      </w:pPr>
      <w:r w:rsidRPr="002B5896">
        <w:rPr>
          <w:rFonts w:ascii="Arial" w:hAnsi="Arial" w:cs="Arial"/>
          <w:b/>
          <w:bCs/>
          <w:i/>
          <w:iCs/>
          <w:kern w:val="0"/>
          <w:sz w:val="22"/>
          <w:szCs w:val="22"/>
          <w:highlight w:val="darkCyan"/>
          <w:lang w:val="en-GB"/>
        </w:rPr>
        <w:t>Offensive weapon or instrument</w:t>
      </w:r>
      <w:r w:rsidRPr="002B5896">
        <w:rPr>
          <w:rFonts w:ascii="Arial" w:hAnsi="Arial" w:cs="Arial"/>
          <w:kern w:val="0"/>
          <w:sz w:val="22"/>
          <w:szCs w:val="22"/>
          <w:highlight w:val="darkCyan"/>
          <w:lang w:val="en-GB"/>
        </w:rPr>
        <w:t xml:space="preserve"> means--</w:t>
      </w:r>
    </w:p>
    <w:p w14:paraId="25245CAA" w14:textId="77777777" w:rsidR="006C7785" w:rsidRPr="002B5896"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highlight w:val="darkCyan"/>
          <w:lang w:val="en-GB"/>
        </w:rPr>
      </w:pPr>
      <w:r w:rsidRPr="002B5896">
        <w:rPr>
          <w:rFonts w:ascii="Arial" w:hAnsi="Arial" w:cs="Arial"/>
          <w:kern w:val="0"/>
          <w:sz w:val="22"/>
          <w:szCs w:val="22"/>
          <w:highlight w:val="darkCyan"/>
          <w:lang w:val="en-GB"/>
        </w:rPr>
        <w:t>(a) a dangerous weapon, or</w:t>
      </w:r>
    </w:p>
    <w:p w14:paraId="7F03BE9F" w14:textId="77777777" w:rsidR="006C7785" w:rsidRPr="002B5896"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highlight w:val="darkCyan"/>
          <w:lang w:val="en-GB"/>
        </w:rPr>
      </w:pPr>
      <w:r w:rsidRPr="002B5896">
        <w:rPr>
          <w:rFonts w:ascii="Arial" w:hAnsi="Arial" w:cs="Arial"/>
          <w:kern w:val="0"/>
          <w:sz w:val="22"/>
          <w:szCs w:val="22"/>
          <w:highlight w:val="darkCyan"/>
          <w:lang w:val="en-GB"/>
        </w:rPr>
        <w:t>(b) any thing that is made or adapted for offensive purposes, or</w:t>
      </w:r>
    </w:p>
    <w:p w14:paraId="4DB4C3EF"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sidRPr="002B5896">
        <w:rPr>
          <w:rFonts w:ascii="Arial" w:hAnsi="Arial" w:cs="Arial"/>
          <w:kern w:val="0"/>
          <w:sz w:val="22"/>
          <w:szCs w:val="22"/>
          <w:highlight w:val="darkCyan"/>
          <w:lang w:val="en-GB"/>
        </w:rPr>
        <w:t>(c) any thing that, in the circumstances, is used, intended for use or threatened to be used for offensive purposes, whether or not it is ordinarily used for offensive purposes or is capable of causing harm.</w:t>
      </w:r>
      <w:commentRangeEnd w:id="14"/>
      <w:r w:rsidR="002B5896">
        <w:rPr>
          <w:rStyle w:val="CommentReference"/>
        </w:rPr>
        <w:commentReference w:id="14"/>
      </w:r>
    </w:p>
    <w:p w14:paraId="2ACD9080"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50</w:t>
      </w:r>
      <w:r>
        <w:rPr>
          <w:rFonts w:ascii="Arial" w:hAnsi="Arial" w:cs="Arial"/>
          <w:kern w:val="0"/>
          <w:lang w:val="en-GB"/>
        </w:rPr>
        <w:tab/>
        <w:t xml:space="preserve">In holding up a lighter and telling a store owner to not come near him the appellant used the lighter for an offensive purpose. </w:t>
      </w:r>
      <w:commentRangeStart w:id="15"/>
      <w:r w:rsidRPr="002B5896">
        <w:rPr>
          <w:rFonts w:ascii="Arial" w:hAnsi="Arial" w:cs="Arial"/>
          <w:kern w:val="0"/>
          <w:highlight w:val="magenta"/>
          <w:lang w:val="en-GB"/>
        </w:rPr>
        <w:t xml:space="preserve">The lighter however was profoundly different in its actual capacity for inflicting harm, and the fear it was likely to engender significantly less, than the weapons contemplated in </w:t>
      </w:r>
      <w:r w:rsidRPr="002B5896">
        <w:rPr>
          <w:rFonts w:ascii="Arial" w:hAnsi="Arial" w:cs="Arial"/>
          <w:i/>
          <w:iCs/>
          <w:kern w:val="0"/>
          <w:highlight w:val="magenta"/>
          <w:lang w:val="en-GB"/>
        </w:rPr>
        <w:t>Henry</w:t>
      </w:r>
      <w:r w:rsidRPr="002B5896">
        <w:rPr>
          <w:rFonts w:ascii="Times New Roman" w:hAnsi="Times New Roman" w:cs="Times New Roman"/>
          <w:kern w:val="0"/>
          <w:highlight w:val="magenta"/>
          <w:lang w:val="en-GB"/>
        </w:rPr>
        <w:t>.</w:t>
      </w:r>
      <w:commentRangeEnd w:id="15"/>
      <w:r w:rsidR="002B5896">
        <w:rPr>
          <w:rStyle w:val="CommentReference"/>
        </w:rPr>
        <w:commentReference w:id="15"/>
      </w:r>
    </w:p>
    <w:p w14:paraId="2B2D4ED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51</w:t>
      </w:r>
      <w:r>
        <w:rPr>
          <w:rFonts w:ascii="Arial" w:hAnsi="Arial" w:cs="Arial"/>
          <w:kern w:val="0"/>
          <w:lang w:val="en-GB"/>
        </w:rPr>
        <w:tab/>
        <w:t xml:space="preserve">The fear of the victim described in the agreed facts was no more than the fear essential as an element of armed robbery. The </w:t>
      </w:r>
      <w:r>
        <w:rPr>
          <w:rFonts w:ascii="Arial" w:hAnsi="Arial" w:cs="Arial"/>
          <w:i/>
          <w:iCs/>
          <w:kern w:val="0"/>
          <w:lang w:val="en-GB"/>
        </w:rPr>
        <w:t>Henry</w:t>
      </w:r>
      <w:r>
        <w:rPr>
          <w:rFonts w:ascii="Arial" w:hAnsi="Arial" w:cs="Arial"/>
          <w:kern w:val="0"/>
          <w:lang w:val="en-GB"/>
        </w:rPr>
        <w:t xml:space="preserve"> factor (iv) of “limited if any actual violence but a real threat thereof”, in the frequently recurring case, was describing some level of threat more significant than simply making out the requisite element of robbery as occurred here. </w:t>
      </w:r>
    </w:p>
    <w:p w14:paraId="0435C3B5"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52</w:t>
      </w:r>
      <w:r>
        <w:rPr>
          <w:rFonts w:ascii="Arial" w:hAnsi="Arial" w:cs="Arial"/>
          <w:kern w:val="0"/>
          <w:lang w:val="en-GB"/>
        </w:rPr>
        <w:tab/>
        <w:t xml:space="preserve">By way of contrast, in the suite of cases responsive to the Crown appeals in the proceedings associated with the guideline judgment, in the first of Mr Henry’s armed robbery offences he produced a filleting style wooden handled knife which was about 35cm in length, and in making his demands of a service station console operator held the knife to the skin of the operator, although it did not pierce the skin. In the second offence he held a long bladed carving knife about 30 cm from the lone female shop assistant: </w:t>
      </w:r>
      <w:r>
        <w:rPr>
          <w:rFonts w:ascii="Arial" w:hAnsi="Arial" w:cs="Arial"/>
          <w:i/>
          <w:iCs/>
          <w:kern w:val="0"/>
          <w:lang w:val="en-GB"/>
        </w:rPr>
        <w:t>R v Henry &amp; Barber</w:t>
      </w:r>
      <w:r>
        <w:rPr>
          <w:rFonts w:ascii="Arial" w:hAnsi="Arial" w:cs="Arial"/>
          <w:kern w:val="0"/>
          <w:lang w:val="en-GB"/>
        </w:rPr>
        <w:t xml:space="preserve"> [1999] NSWCCA 107 at [8], [10]. Mr Jenkins pointed what was described as a “boning knife” or “nasty looking weapon” </w:t>
      </w:r>
      <w:r>
        <w:rPr>
          <w:rFonts w:ascii="Arial" w:hAnsi="Arial" w:cs="Arial"/>
          <w:kern w:val="0"/>
          <w:lang w:val="en-GB"/>
        </w:rPr>
        <w:lastRenderedPageBreak/>
        <w:t xml:space="preserve">(obtained from a friend who worked in an abattoir) to the ribcage of the victim: </w:t>
      </w:r>
      <w:r>
        <w:rPr>
          <w:rFonts w:ascii="Arial" w:hAnsi="Arial" w:cs="Arial"/>
          <w:i/>
          <w:iCs/>
          <w:kern w:val="0"/>
          <w:lang w:val="en-GB"/>
        </w:rPr>
        <w:t>R v Jenkins</w:t>
      </w:r>
      <w:r>
        <w:rPr>
          <w:rFonts w:ascii="Arial" w:hAnsi="Arial" w:cs="Arial"/>
          <w:kern w:val="0"/>
          <w:lang w:val="en-GB"/>
        </w:rPr>
        <w:t xml:space="preserve"> [1999] NSWCCA 110. Consideration was given to the comparative seriousness of grabbing the victim by the arm with a threat to stab him with a syringe filled with red liquid, with the guideline, in the associated proceedings in </w:t>
      </w:r>
      <w:r>
        <w:rPr>
          <w:rFonts w:ascii="Arial" w:hAnsi="Arial" w:cs="Arial"/>
          <w:i/>
          <w:iCs/>
          <w:kern w:val="0"/>
          <w:lang w:val="en-GB"/>
        </w:rPr>
        <w:t>R v Kyroglou &amp; Tsoukatos</w:t>
      </w:r>
      <w:r>
        <w:rPr>
          <w:rFonts w:ascii="Arial" w:hAnsi="Arial" w:cs="Arial"/>
          <w:kern w:val="0"/>
          <w:lang w:val="en-GB"/>
        </w:rPr>
        <w:t xml:space="preserve"> [1999] NSWCCA 106 at [15], [88]. Simpson J described the only inference the victim would draw, that the syringe was filled with blood infected with the AIDS virus or some other deadly or life threatening organism, as so calculated to instil terror that its use, if not more serious than the use of a knife, was at the very least right at the outside limits of seriousness of the kind of weapon the guideline contemplates.</w:t>
      </w:r>
    </w:p>
    <w:p w14:paraId="1DA19C1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53</w:t>
      </w:r>
      <w:r>
        <w:rPr>
          <w:rFonts w:ascii="Arial" w:hAnsi="Arial" w:cs="Arial"/>
          <w:kern w:val="0"/>
          <w:lang w:val="en-GB"/>
        </w:rPr>
        <w:tab/>
        <w:t xml:space="preserve">More contemporaneous examples were provided in the appellant’s submissions in support of the complaint of manifest excess. These included </w:t>
      </w:r>
      <w:r>
        <w:rPr>
          <w:rFonts w:ascii="Arial" w:hAnsi="Arial" w:cs="Arial"/>
          <w:i/>
          <w:iCs/>
          <w:kern w:val="0"/>
          <w:lang w:val="en-GB"/>
        </w:rPr>
        <w:t>Qoro v R</w:t>
      </w:r>
      <w:r>
        <w:rPr>
          <w:rFonts w:ascii="Arial" w:hAnsi="Arial" w:cs="Arial"/>
          <w:kern w:val="0"/>
          <w:lang w:val="en-GB"/>
        </w:rPr>
        <w:t xml:space="preserve"> [2020] NSWCCA 276, where a 25 cm knife was produced initially to within arm’s length of a female taxi driver, with the applicant’s hand on her shoulder saying “I’m going to stick ya”, then moved closer to her throat. The applicant cut the cord of her radio with the knife, and threatened to stab her with it if she touched the alarm button. He pinned her to her seat and there was a struggle before the property was taken from her. In </w:t>
      </w:r>
      <w:r>
        <w:rPr>
          <w:rFonts w:ascii="Arial" w:hAnsi="Arial" w:cs="Arial"/>
          <w:i/>
          <w:iCs/>
          <w:kern w:val="0"/>
          <w:lang w:val="en-GB"/>
        </w:rPr>
        <w:t xml:space="preserve">Nasrallah v R </w:t>
      </w:r>
      <w:r>
        <w:rPr>
          <w:rFonts w:ascii="Arial" w:hAnsi="Arial" w:cs="Arial"/>
          <w:kern w:val="0"/>
          <w:lang w:val="en-GB"/>
        </w:rPr>
        <w:t xml:space="preserve">(2021) 105 NSWLR 451; [2021] NSWCCA 207 a small knife and metal pole were used by co-offenders, with weapons wielded and swung in a way to knock merchandise off shelves, and the blade of the knife held to the victim’s neck whilst he was threatened to be “cut”. In </w:t>
      </w:r>
      <w:r>
        <w:rPr>
          <w:rFonts w:ascii="Arial" w:hAnsi="Arial" w:cs="Arial"/>
          <w:i/>
          <w:iCs/>
          <w:kern w:val="0"/>
          <w:lang w:val="en-GB"/>
        </w:rPr>
        <w:t xml:space="preserve">Wood v R </w:t>
      </w:r>
      <w:r>
        <w:rPr>
          <w:rFonts w:ascii="Arial" w:hAnsi="Arial" w:cs="Arial"/>
          <w:kern w:val="0"/>
          <w:lang w:val="en-GB"/>
        </w:rPr>
        <w:t xml:space="preserve">[2022] NSWCCA 84 the offenders produced weapons including machetes to threaten the receptionist of a brothel. In </w:t>
      </w:r>
      <w:r>
        <w:rPr>
          <w:rFonts w:ascii="Arial" w:hAnsi="Arial" w:cs="Arial"/>
          <w:i/>
          <w:iCs/>
          <w:kern w:val="0"/>
          <w:lang w:val="en-GB"/>
        </w:rPr>
        <w:t xml:space="preserve">Whipp v R </w:t>
      </w:r>
      <w:r>
        <w:rPr>
          <w:rFonts w:ascii="Arial" w:hAnsi="Arial" w:cs="Arial"/>
          <w:kern w:val="0"/>
          <w:lang w:val="en-GB"/>
        </w:rPr>
        <w:t xml:space="preserve">[2024] NSWCCA 79 three offenders were involved and pointed a black object believed to be a gun, and a long knife (inferentially a hunting style knife later found with the victim’s property), at the owners of a grocery store. His fingers were cut by the knife in the process of handing over the property.  </w:t>
      </w:r>
    </w:p>
    <w:p w14:paraId="5BED238C"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i/>
          <w:iCs/>
          <w:kern w:val="0"/>
          <w:lang w:val="en-GB"/>
        </w:rPr>
        <w:t>54</w:t>
      </w:r>
      <w:r>
        <w:rPr>
          <w:rFonts w:ascii="Arial" w:hAnsi="Arial" w:cs="Arial"/>
          <w:i/>
          <w:iCs/>
          <w:kern w:val="0"/>
          <w:lang w:val="en-GB"/>
        </w:rPr>
        <w:tab/>
        <w:t>Henry</w:t>
      </w:r>
      <w:r>
        <w:rPr>
          <w:rFonts w:ascii="Arial" w:hAnsi="Arial" w:cs="Arial"/>
          <w:kern w:val="0"/>
          <w:lang w:val="en-GB"/>
        </w:rPr>
        <w:t xml:space="preserve"> and subsequent cases have made clear that the guideline is not prescriptive, as the sentencing judge confirmed. It is also uncontroversial that the guideline may have some utility in cases not squarely falling within its criteria. However this case was one where the guideline really had no role to perform, as the circumstances were so different in almost all respects, and there was the overlaying component of the appellant’s significant mental illness.</w:t>
      </w:r>
    </w:p>
    <w:p w14:paraId="337996D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lastRenderedPageBreak/>
        <w:t>55</w:t>
      </w:r>
      <w:r>
        <w:rPr>
          <w:rFonts w:ascii="Arial" w:hAnsi="Arial" w:cs="Arial"/>
          <w:kern w:val="0"/>
          <w:lang w:val="en-GB"/>
        </w:rPr>
        <w:tab/>
        <w:t xml:space="preserve">At first instance neither party submitted that the guideline criterion of a weapon like a knife, capable of killing or inflicting grievous bodily harm, was present. It was submitted for the appellant that the </w:t>
      </w:r>
      <w:r>
        <w:rPr>
          <w:rFonts w:ascii="Arial" w:hAnsi="Arial" w:cs="Arial"/>
          <w:i/>
          <w:iCs/>
          <w:kern w:val="0"/>
          <w:lang w:val="en-GB"/>
        </w:rPr>
        <w:t>Henry</w:t>
      </w:r>
      <w:r>
        <w:rPr>
          <w:rFonts w:ascii="Arial" w:hAnsi="Arial" w:cs="Arial"/>
          <w:kern w:val="0"/>
          <w:lang w:val="en-GB"/>
        </w:rPr>
        <w:t xml:space="preserve"> guideline was of limited relevance in the circumstances of this case.  </w:t>
      </w:r>
    </w:p>
    <w:p w14:paraId="5A9D706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56</w:t>
      </w:r>
      <w:r>
        <w:rPr>
          <w:rFonts w:ascii="Arial" w:hAnsi="Arial" w:cs="Arial"/>
          <w:kern w:val="0"/>
          <w:lang w:val="en-GB"/>
        </w:rPr>
        <w:tab/>
      </w:r>
      <w:r w:rsidRPr="002B5896">
        <w:rPr>
          <w:rFonts w:ascii="Arial" w:hAnsi="Arial" w:cs="Arial"/>
          <w:kern w:val="0"/>
          <w:highlight w:val="magenta"/>
          <w:lang w:val="en-GB"/>
        </w:rPr>
        <w:t xml:space="preserve">This case was not comparable to the frequently recurring case considered in </w:t>
      </w:r>
      <w:commentRangeStart w:id="16"/>
      <w:r w:rsidRPr="002B5896">
        <w:rPr>
          <w:rFonts w:ascii="Arial" w:hAnsi="Arial" w:cs="Arial"/>
          <w:i/>
          <w:iCs/>
          <w:kern w:val="0"/>
          <w:highlight w:val="magenta"/>
          <w:lang w:val="en-GB"/>
        </w:rPr>
        <w:t>Henry</w:t>
      </w:r>
      <w:commentRangeEnd w:id="16"/>
      <w:r w:rsidR="002B5896">
        <w:rPr>
          <w:rStyle w:val="CommentReference"/>
        </w:rPr>
        <w:commentReference w:id="16"/>
      </w:r>
      <w:r w:rsidRPr="002B5896">
        <w:rPr>
          <w:rFonts w:ascii="Arial" w:hAnsi="Arial" w:cs="Arial"/>
          <w:kern w:val="0"/>
          <w:highlight w:val="magenta"/>
          <w:lang w:val="en-GB"/>
        </w:rPr>
        <w:t>.</w:t>
      </w:r>
      <w:r>
        <w:rPr>
          <w:rFonts w:ascii="Arial" w:hAnsi="Arial" w:cs="Arial"/>
          <w:kern w:val="0"/>
          <w:lang w:val="en-GB"/>
        </w:rPr>
        <w:t xml:space="preserve"> Contrary to the respondent’s submission, it is not right to state that there could be no doubt the </w:t>
      </w:r>
      <w:r>
        <w:rPr>
          <w:rFonts w:ascii="Arial" w:hAnsi="Arial" w:cs="Arial"/>
          <w:i/>
          <w:iCs/>
          <w:kern w:val="0"/>
          <w:lang w:val="en-GB"/>
        </w:rPr>
        <w:t>Henry</w:t>
      </w:r>
      <w:r>
        <w:rPr>
          <w:rFonts w:ascii="Arial" w:hAnsi="Arial" w:cs="Arial"/>
          <w:kern w:val="0"/>
          <w:lang w:val="en-GB"/>
        </w:rPr>
        <w:t xml:space="preserve"> guideline was applicable because this was an offence of robbery armed with an offensive weapon. </w:t>
      </w:r>
      <w:commentRangeStart w:id="17"/>
      <w:r w:rsidRPr="002B5896">
        <w:rPr>
          <w:rFonts w:ascii="Arial" w:hAnsi="Arial" w:cs="Arial"/>
          <w:kern w:val="0"/>
          <w:highlight w:val="cyan"/>
          <w:lang w:val="en-GB"/>
        </w:rPr>
        <w:t xml:space="preserve">Neither the guideline judgment nor the purpose of guideline judgments supports the proposition that </w:t>
      </w:r>
      <w:r w:rsidRPr="002B5896">
        <w:rPr>
          <w:rFonts w:ascii="Arial" w:hAnsi="Arial" w:cs="Arial"/>
          <w:i/>
          <w:iCs/>
          <w:kern w:val="0"/>
          <w:highlight w:val="cyan"/>
          <w:lang w:val="en-GB"/>
        </w:rPr>
        <w:t>Henry</w:t>
      </w:r>
      <w:r w:rsidRPr="002B5896">
        <w:rPr>
          <w:rFonts w:ascii="Arial" w:hAnsi="Arial" w:cs="Arial"/>
          <w:kern w:val="0"/>
          <w:highlight w:val="cyan"/>
          <w:lang w:val="en-GB"/>
        </w:rPr>
        <w:t xml:space="preserve"> offers guidance in all armed robbery sentence proceedings.</w:t>
      </w:r>
      <w:commentRangeEnd w:id="17"/>
      <w:r w:rsidR="002B5896">
        <w:rPr>
          <w:rStyle w:val="CommentReference"/>
        </w:rPr>
        <w:commentReference w:id="17"/>
      </w:r>
    </w:p>
    <w:p w14:paraId="64EF0520"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57</w:t>
      </w:r>
      <w:r>
        <w:rPr>
          <w:rFonts w:ascii="Arial" w:hAnsi="Arial" w:cs="Arial"/>
          <w:kern w:val="0"/>
          <w:lang w:val="en-GB"/>
        </w:rPr>
        <w:tab/>
        <w:t xml:space="preserve">Section 36 of the </w:t>
      </w:r>
      <w:r>
        <w:rPr>
          <w:rFonts w:ascii="Arial" w:hAnsi="Arial" w:cs="Arial"/>
          <w:i/>
          <w:iCs/>
          <w:kern w:val="0"/>
          <w:lang w:val="en-GB"/>
        </w:rPr>
        <w:t xml:space="preserve">Crimes (Sentencing Procedure) Act 1999 </w:t>
      </w:r>
      <w:r>
        <w:rPr>
          <w:rFonts w:ascii="Arial" w:hAnsi="Arial" w:cs="Arial"/>
          <w:kern w:val="0"/>
          <w:lang w:val="en-GB"/>
        </w:rPr>
        <w:t>(NSW) (“the Act”) provides that:</w:t>
      </w:r>
    </w:p>
    <w:p w14:paraId="40A47C4F"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b/>
          <w:bCs/>
          <w:i/>
          <w:iCs/>
          <w:kern w:val="0"/>
          <w:sz w:val="22"/>
          <w:szCs w:val="22"/>
          <w:lang w:val="en-GB"/>
        </w:rPr>
        <w:t>guideline judgment</w:t>
      </w:r>
      <w:r>
        <w:rPr>
          <w:rFonts w:ascii="Arial" w:hAnsi="Arial" w:cs="Arial"/>
          <w:b/>
          <w:bCs/>
          <w:kern w:val="0"/>
          <w:sz w:val="22"/>
          <w:szCs w:val="22"/>
          <w:lang w:val="en-GB"/>
        </w:rPr>
        <w:t xml:space="preserve"> </w:t>
      </w:r>
      <w:r>
        <w:rPr>
          <w:rFonts w:ascii="Arial" w:hAnsi="Arial" w:cs="Arial"/>
          <w:kern w:val="0"/>
          <w:sz w:val="22"/>
          <w:szCs w:val="22"/>
          <w:lang w:val="en-GB"/>
        </w:rPr>
        <w:t>means a judgment that is expressed to contain guidelines to be taken into account by courts sentencing offenders, being--</w:t>
      </w:r>
    </w:p>
    <w:p w14:paraId="0141BAD2"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(a) guidelines that apply generally, or</w:t>
      </w:r>
    </w:p>
    <w:p w14:paraId="51A8AEC7"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(b) guidelines that apply to particular courts or classes of courts, to particular offences or classes of offences, to particular penalties or classes of penalties or to particular classes of offenders (but not to particular offenders).</w:t>
      </w:r>
    </w:p>
    <w:p w14:paraId="4F45F3B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58</w:t>
      </w:r>
      <w:r>
        <w:rPr>
          <w:rFonts w:ascii="Arial" w:hAnsi="Arial" w:cs="Arial"/>
          <w:kern w:val="0"/>
          <w:lang w:val="en-GB"/>
        </w:rPr>
        <w:tab/>
        <w:t xml:space="preserve">The role of guideline judgments was explained at length in </w:t>
      </w:r>
      <w:r>
        <w:rPr>
          <w:rFonts w:ascii="Arial" w:hAnsi="Arial" w:cs="Arial"/>
          <w:i/>
          <w:iCs/>
          <w:kern w:val="0"/>
          <w:lang w:val="en-GB"/>
        </w:rPr>
        <w:t>Henry</w:t>
      </w:r>
      <w:r>
        <w:rPr>
          <w:rFonts w:ascii="Arial" w:hAnsi="Arial" w:cs="Arial"/>
          <w:kern w:val="0"/>
          <w:lang w:val="en-GB"/>
        </w:rPr>
        <w:t xml:space="preserve">, as was the focus of and reason for a guideline relevant to the frequently recurring case considered by the Court. In my view this was not a case where guidance was offered by the guideline judgment. </w:t>
      </w:r>
      <w:commentRangeStart w:id="18"/>
      <w:r w:rsidRPr="002B5896">
        <w:rPr>
          <w:rFonts w:ascii="Arial" w:hAnsi="Arial" w:cs="Arial"/>
          <w:kern w:val="0"/>
          <w:highlight w:val="cyan"/>
          <w:lang w:val="en-GB"/>
        </w:rPr>
        <w:t xml:space="preserve">Having raised a comparison with </w:t>
      </w:r>
      <w:r w:rsidRPr="002B5896">
        <w:rPr>
          <w:rFonts w:ascii="Arial" w:hAnsi="Arial" w:cs="Arial"/>
          <w:i/>
          <w:iCs/>
          <w:kern w:val="0"/>
          <w:highlight w:val="cyan"/>
          <w:lang w:val="en-GB"/>
        </w:rPr>
        <w:t>Henry</w:t>
      </w:r>
      <w:r w:rsidRPr="002B5896">
        <w:rPr>
          <w:rFonts w:ascii="Arial" w:hAnsi="Arial" w:cs="Arial"/>
          <w:kern w:val="0"/>
          <w:highlight w:val="cyan"/>
          <w:lang w:val="en-GB"/>
        </w:rPr>
        <w:t>, it was necessary for her Honour to explain how much less serious objectively this case was than that considered in the guideline, including because there was no use of a weapon like a knife, capable of killing or causing grievous bodily harm. To draw the comparison without making this clear involved material error.</w:t>
      </w:r>
      <w:commentRangeEnd w:id="18"/>
      <w:r w:rsidR="002B5896">
        <w:rPr>
          <w:rStyle w:val="CommentReference"/>
        </w:rPr>
        <w:commentReference w:id="18"/>
      </w:r>
    </w:p>
    <w:p w14:paraId="49A49118"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59</w:t>
      </w:r>
      <w:r>
        <w:rPr>
          <w:rFonts w:ascii="Arial" w:hAnsi="Arial" w:cs="Arial"/>
          <w:kern w:val="0"/>
          <w:lang w:val="en-GB"/>
        </w:rPr>
        <w:tab/>
        <w:t xml:space="preserve">The second component of the first ground of appeal is not necessary to resolve, given the error in relation to ground 1(iii). </w:t>
      </w:r>
      <w:commentRangeStart w:id="19"/>
      <w:r w:rsidRPr="002B5896">
        <w:rPr>
          <w:rFonts w:ascii="Arial" w:hAnsi="Arial" w:cs="Arial"/>
          <w:kern w:val="0"/>
          <w:highlight w:val="yellow"/>
          <w:lang w:val="en-GB"/>
        </w:rPr>
        <w:t>I am not prepared to indicate that comparison with the guideline judgment (particularly the more extended considerations of the core criteria referred to) is not an adequate recognition of the objective seriousness of an armed robbery offence.</w:t>
      </w:r>
      <w:commentRangeEnd w:id="19"/>
      <w:r w:rsidR="002B5896">
        <w:rPr>
          <w:rStyle w:val="CommentReference"/>
        </w:rPr>
        <w:commentReference w:id="19"/>
      </w:r>
      <w:r>
        <w:rPr>
          <w:rFonts w:ascii="Arial" w:hAnsi="Arial" w:cs="Arial"/>
          <w:kern w:val="0"/>
          <w:lang w:val="en-GB"/>
        </w:rPr>
        <w:t xml:space="preserve"> The problem here is that the comparison was not factually open. I would not uphold ground 1(ii). </w:t>
      </w:r>
    </w:p>
    <w:p w14:paraId="495F3416"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lastRenderedPageBreak/>
        <w:t>60</w:t>
      </w:r>
      <w:r>
        <w:rPr>
          <w:rFonts w:ascii="Arial" w:hAnsi="Arial" w:cs="Arial"/>
          <w:kern w:val="0"/>
          <w:lang w:val="en-GB"/>
        </w:rPr>
        <w:tab/>
        <w:t xml:space="preserve">As to the first component of the appellant’s first ground of appeal, I am not of the view that the decision of this Court in </w:t>
      </w:r>
      <w:r>
        <w:rPr>
          <w:rFonts w:ascii="Arial" w:hAnsi="Arial" w:cs="Arial"/>
          <w:i/>
          <w:iCs/>
          <w:kern w:val="0"/>
          <w:lang w:val="en-GB"/>
        </w:rPr>
        <w:t>Towers</w:t>
      </w:r>
      <w:r>
        <w:rPr>
          <w:rFonts w:ascii="Arial" w:hAnsi="Arial" w:cs="Arial"/>
          <w:kern w:val="0"/>
          <w:lang w:val="en-GB"/>
        </w:rPr>
        <w:t xml:space="preserve"> assists the appellant. The ground as pleaded in </w:t>
      </w:r>
      <w:r>
        <w:rPr>
          <w:rFonts w:ascii="Arial" w:hAnsi="Arial" w:cs="Arial"/>
          <w:i/>
          <w:iCs/>
          <w:kern w:val="0"/>
          <w:lang w:val="en-GB"/>
        </w:rPr>
        <w:t>Towers</w:t>
      </w:r>
      <w:r>
        <w:rPr>
          <w:rFonts w:ascii="Arial" w:hAnsi="Arial" w:cs="Arial"/>
          <w:kern w:val="0"/>
          <w:lang w:val="en-GB"/>
        </w:rPr>
        <w:t xml:space="preserve"> was that the sentencing judge erred in taking into consideration irrelevant considerations when determining the objective seriousness of the offence, one of aggravated stealing from a person. Under the heading of “Objective Gravity” the sentencing judge set out the relevant factors from </w:t>
      </w:r>
      <w:r>
        <w:rPr>
          <w:rFonts w:ascii="Arial" w:hAnsi="Arial" w:cs="Arial"/>
          <w:i/>
          <w:iCs/>
          <w:kern w:val="0"/>
          <w:lang w:val="en-GB"/>
        </w:rPr>
        <w:t>Henry</w:t>
      </w:r>
      <w:r>
        <w:rPr>
          <w:rFonts w:ascii="Arial" w:hAnsi="Arial" w:cs="Arial"/>
          <w:kern w:val="0"/>
          <w:lang w:val="en-GB"/>
        </w:rPr>
        <w:t xml:space="preserve"> that were present in the case from the facts as found. The sentencing judge had observed there were also differences, namely the applicant’s criminal history and age. His Honour then assessed the objective seriousness as falling within the mid-range.</w:t>
      </w:r>
    </w:p>
    <w:p w14:paraId="645E1F2F"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61</w:t>
      </w:r>
      <w:r>
        <w:rPr>
          <w:rFonts w:ascii="Arial" w:hAnsi="Arial" w:cs="Arial"/>
          <w:kern w:val="0"/>
          <w:lang w:val="en-GB"/>
        </w:rPr>
        <w:tab/>
        <w:t xml:space="preserve">The sentencing judge in the matter now before the Court did not include the discussion of </w:t>
      </w:r>
      <w:r>
        <w:rPr>
          <w:rFonts w:ascii="Arial" w:hAnsi="Arial" w:cs="Arial"/>
          <w:i/>
          <w:iCs/>
          <w:kern w:val="0"/>
          <w:lang w:val="en-GB"/>
        </w:rPr>
        <w:t>Henry</w:t>
      </w:r>
      <w:r>
        <w:rPr>
          <w:rFonts w:ascii="Arial" w:hAnsi="Arial" w:cs="Arial"/>
          <w:kern w:val="0"/>
          <w:lang w:val="en-GB"/>
        </w:rPr>
        <w:t xml:space="preserve"> under a heading concerning objective gravity, with all thereunder purporting to relate to that topic. Her Honour did not indicate that her assessment of the level of objective seriousness was “obvious” from everything said up to the point in the judgment, nor everything said in the preceding sentences. A fair reading of her Honour’s judgment as a whole indicates that her Honour’s recitation of the facts, and determination that these fell broadly within the </w:t>
      </w:r>
      <w:r>
        <w:rPr>
          <w:rFonts w:ascii="Arial" w:hAnsi="Arial" w:cs="Arial"/>
          <w:i/>
          <w:iCs/>
          <w:kern w:val="0"/>
          <w:lang w:val="en-GB"/>
        </w:rPr>
        <w:t>Henry</w:t>
      </w:r>
      <w:r>
        <w:rPr>
          <w:rFonts w:ascii="Arial" w:hAnsi="Arial" w:cs="Arial"/>
          <w:kern w:val="0"/>
          <w:lang w:val="en-GB"/>
        </w:rPr>
        <w:t xml:space="preserve"> parameters, confirmed her Honour’s view that objectively the case was broadly equivalent with the objective features of the </w:t>
      </w:r>
      <w:r>
        <w:rPr>
          <w:rFonts w:ascii="Arial" w:hAnsi="Arial" w:cs="Arial"/>
          <w:i/>
          <w:iCs/>
          <w:kern w:val="0"/>
          <w:lang w:val="en-GB"/>
        </w:rPr>
        <w:t>Henry</w:t>
      </w:r>
      <w:r>
        <w:rPr>
          <w:rFonts w:ascii="Arial" w:hAnsi="Arial" w:cs="Arial"/>
          <w:kern w:val="0"/>
          <w:lang w:val="en-GB"/>
        </w:rPr>
        <w:t xml:space="preserve"> guideline. The appellant’s contention that her Honour took his age, guilty plea and antecedents into account in assessing objective seriousness is not accepted.</w:t>
      </w:r>
    </w:p>
    <w:p w14:paraId="09DF3D32"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62</w:t>
      </w:r>
      <w:r>
        <w:rPr>
          <w:rFonts w:ascii="Arial" w:hAnsi="Arial" w:cs="Arial"/>
          <w:kern w:val="0"/>
          <w:lang w:val="en-GB"/>
        </w:rPr>
        <w:tab/>
      </w:r>
      <w:commentRangeStart w:id="20"/>
      <w:r w:rsidRPr="002B5896">
        <w:rPr>
          <w:rFonts w:ascii="Arial" w:hAnsi="Arial" w:cs="Arial"/>
          <w:kern w:val="0"/>
          <w:highlight w:val="darkGray"/>
          <w:lang w:val="en-GB"/>
        </w:rPr>
        <w:t>Error having been established, the Court will proceed to re-sentencing.</w:t>
      </w:r>
      <w:r>
        <w:rPr>
          <w:rFonts w:ascii="Arial" w:hAnsi="Arial" w:cs="Arial"/>
          <w:kern w:val="0"/>
          <w:lang w:val="en-GB"/>
        </w:rPr>
        <w:t xml:space="preserve"> </w:t>
      </w:r>
      <w:commentRangeEnd w:id="20"/>
      <w:r w:rsidR="002B5896">
        <w:rPr>
          <w:rStyle w:val="CommentReference"/>
        </w:rPr>
        <w:commentReference w:id="20"/>
      </w:r>
      <w:r>
        <w:rPr>
          <w:rFonts w:ascii="Arial" w:hAnsi="Arial" w:cs="Arial"/>
          <w:kern w:val="0"/>
          <w:lang w:val="en-GB"/>
        </w:rPr>
        <w:t>There is thus no need to consider the third ground of appeal asserting manifest excess.</w:t>
      </w:r>
    </w:p>
    <w:p w14:paraId="543B68F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63</w:t>
      </w:r>
      <w:r>
        <w:rPr>
          <w:rFonts w:ascii="Arial" w:hAnsi="Arial" w:cs="Arial"/>
          <w:kern w:val="0"/>
          <w:lang w:val="en-GB"/>
        </w:rPr>
        <w:tab/>
        <w:t>In the circumstances of this case I am of the view that ground 2 (asserted error in failing to find, or consider whether, the appellant’s mental health would make a full-time custodial sentence more onerous) does not require formal resolution. However it can be responded to quite briefly rather than addressing it in the resentencing exercise.</w:t>
      </w:r>
    </w:p>
    <w:p w14:paraId="06361E8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64</w:t>
      </w:r>
      <w:r>
        <w:rPr>
          <w:rFonts w:ascii="Arial" w:hAnsi="Arial" w:cs="Arial"/>
          <w:kern w:val="0"/>
          <w:lang w:val="en-GB"/>
        </w:rPr>
        <w:tab/>
        <w:t xml:space="preserve">The matter emphasised on the appellant’s behalf at first instance was hardship in custody because of the traumatic incident in the appellant’s youth, and her Honour clearly took this into account. Hardship in custody because of mental illness was only faintly referred to. Her Honour was not clearly asked to take it into </w:t>
      </w:r>
      <w:r>
        <w:rPr>
          <w:rFonts w:ascii="Arial" w:hAnsi="Arial" w:cs="Arial"/>
          <w:kern w:val="0"/>
          <w:lang w:val="en-GB"/>
        </w:rPr>
        <w:lastRenderedPageBreak/>
        <w:t xml:space="preserve">account. Although the relevant comparison is between the onerousness of the conditions of custody for the relevant offender and other inmates (because, amongst other things, this affects how harshly the offender is being punished, and thereby bears upon the sentencing purpose of adequacy of punishment), this case was difficult. The evidence supported the proposition that the appellant was more frightened in custody than other inmates without his mental illness – but it also proved that he was more frightened still in the community. I am of the view that in the circumstances of this case it was open to her Honour, and the appellant’s representative at first instance, to focus on the appellant’s institutionalisation and preference for incarceration over liberty, as the salient manifestation of the appellant’s mental illness, relevant to his conditions in custody and the appropriate sentence to impose. </w:t>
      </w:r>
      <w:commentRangeStart w:id="21"/>
      <w:r w:rsidRPr="002B5896">
        <w:rPr>
          <w:rFonts w:ascii="Arial" w:hAnsi="Arial" w:cs="Arial"/>
          <w:kern w:val="0"/>
          <w:highlight w:val="yellow"/>
          <w:lang w:val="en-GB"/>
        </w:rPr>
        <w:t>Had determination been required, I would have dismissed ground 2.</w:t>
      </w:r>
      <w:commentRangeEnd w:id="21"/>
      <w:r w:rsidR="002B5896">
        <w:rPr>
          <w:rStyle w:val="CommentReference"/>
        </w:rPr>
        <w:commentReference w:id="21"/>
      </w:r>
    </w:p>
    <w:p w14:paraId="653ECCC1" w14:textId="77777777" w:rsidR="006C7785" w:rsidRDefault="006C7785">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Re-sentencing</w:t>
      </w:r>
    </w:p>
    <w:p w14:paraId="3541F788"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65</w:t>
      </w:r>
      <w:r>
        <w:rPr>
          <w:rFonts w:ascii="Arial" w:hAnsi="Arial" w:cs="Arial"/>
          <w:kern w:val="0"/>
          <w:lang w:val="en-GB"/>
        </w:rPr>
        <w:tab/>
        <w:t>Two affidavits sworn by the solicitor for the respondent were read on the usual basis. The Court was thereby provided with updated copies of the appellant’s criminal and custodial history. On 13 August 2025 the appellant was convicted in the Local Court of an offence of attempting to escape from lawful custody. For this offence he was sentenced to a Community Correction Order for 18 months from 13 August 2025 to 12 February 2027.</w:t>
      </w:r>
    </w:p>
    <w:p w14:paraId="3EC1FA11"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66</w:t>
      </w:r>
      <w:r>
        <w:rPr>
          <w:rFonts w:ascii="Arial" w:hAnsi="Arial" w:cs="Arial"/>
          <w:kern w:val="0"/>
          <w:lang w:val="en-GB"/>
        </w:rPr>
        <w:tab/>
        <w:t xml:space="preserve">The facts on which he was sentenced were that on 12 June 2025, whilst a patient at Prince of Wales Hospital, being treated for self-inflicted lacerations to his arms, he was placed in a small “safe room” with his hands cuffed to the front of his body, after a number of occasions of pushing past two Corrective Services Officers who were guarding him, attempting to run out the hospital doors. When one of the officers removed his firearm holster from his belt to pass it to the other officer, the appellant lunged towards the doorway in another attempt to escape. The firearm landed on the floor and the appellant was further restrained. The facts state “It is unknown if the Accused was making attempts to take possession of the firearm.” The appellant was sentenced on the basis that auditory hallucinations had caused him to self-harm. There was a submission advanced suggesting these may have been continuing at the time of the attempted escape but the Magistrate did not make a </w:t>
      </w:r>
      <w:r>
        <w:rPr>
          <w:rFonts w:ascii="Arial" w:hAnsi="Arial" w:cs="Arial"/>
          <w:kern w:val="0"/>
          <w:lang w:val="en-GB"/>
        </w:rPr>
        <w:lastRenderedPageBreak/>
        <w:t>positive finding on this issue.</w:t>
      </w:r>
    </w:p>
    <w:p w14:paraId="32A339F7"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67</w:t>
      </w:r>
      <w:r>
        <w:rPr>
          <w:rFonts w:ascii="Arial" w:hAnsi="Arial" w:cs="Arial"/>
          <w:kern w:val="0"/>
          <w:lang w:val="en-GB"/>
        </w:rPr>
        <w:tab/>
        <w:t>Custodial disciplinary action was taken against the appellant in relation to an instance of disobeying a direction in custody, and on another occasion where he damaged his cell. He started a fire, responsive to hearing voices.</w:t>
      </w:r>
    </w:p>
    <w:p w14:paraId="3AF37FC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68</w:t>
      </w:r>
      <w:r>
        <w:rPr>
          <w:rFonts w:ascii="Arial" w:hAnsi="Arial" w:cs="Arial"/>
          <w:kern w:val="0"/>
          <w:lang w:val="en-GB"/>
        </w:rPr>
        <w:tab/>
        <w:t xml:space="preserve">The appellant’s evidence for re-sentence included his own affidavit affirmed on 30 September 2025. He explained that his mental health goes up and down and he is “triggered by things in here”. He stated that he was hearing voices when he self-harmed a few months earlier, and that when he was hospitalised and handcuffed for a long time the voices told him to run, and he attempted to escape. </w:t>
      </w:r>
    </w:p>
    <w:p w14:paraId="2A793D2C"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69</w:t>
      </w:r>
      <w:r>
        <w:rPr>
          <w:rFonts w:ascii="Arial" w:hAnsi="Arial" w:cs="Arial"/>
          <w:kern w:val="0"/>
          <w:lang w:val="en-GB"/>
        </w:rPr>
        <w:tab/>
        <w:t>The appellant explained positive steps taken by him in custody such as a period of employment as the laundry sweeper, which he enjoyed. He had reverted to Islam which he described as transformative, as it focuses on abstinence from drugs. He expressed a wish to turn his life around and not go back to his old ways. He had been supported in custody with suggested medication changes, and said he was feeling good as the voices had subsided, although he was more tired in the mornings as a result of the new medication. He expressed a commitment to staying on this medication when released and attending medical appointments.</w:t>
      </w:r>
    </w:p>
    <w:p w14:paraId="082C98F4"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70</w:t>
      </w:r>
      <w:r>
        <w:rPr>
          <w:rFonts w:ascii="Arial" w:hAnsi="Arial" w:cs="Arial"/>
          <w:kern w:val="0"/>
          <w:lang w:val="en-GB"/>
        </w:rPr>
        <w:tab/>
        <w:t>An NDIS coordinator had been in contact with the appellant, and he has a fresh plan which started on 29 August 2025 which will continue for three years. He had also organised accommodation for him on his release from custody in a group home, after which independent accommodation will be worked towards. Part of the funding will also be used for psychological help and assistance in finding part-time employment or enrolling in a course at TAFE.</w:t>
      </w:r>
    </w:p>
    <w:p w14:paraId="31F4858F"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71</w:t>
      </w:r>
      <w:r>
        <w:rPr>
          <w:rFonts w:ascii="Arial" w:hAnsi="Arial" w:cs="Arial"/>
          <w:kern w:val="0"/>
          <w:lang w:val="en-GB"/>
        </w:rPr>
        <w:tab/>
        <w:t xml:space="preserve">An affidavit affirmed by the appellant’s solicitor addressed a number of the issues raised in the appellant’s affidavit. His analysis of custodial records demonstrated instances of the appellant hearing voices, not feeling safe, self-harming and threatening self-harm. A stated willingness to participate in programmes and interventions was recorded. A record dated 3 June 2025 noted that the appellant had recently converted to Islam which he stated brought him peace and purpose. </w:t>
      </w:r>
    </w:p>
    <w:p w14:paraId="0CB48C47"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72</w:t>
      </w:r>
      <w:r>
        <w:rPr>
          <w:rFonts w:ascii="Arial" w:hAnsi="Arial" w:cs="Arial"/>
          <w:kern w:val="0"/>
          <w:lang w:val="en-GB"/>
        </w:rPr>
        <w:tab/>
        <w:t xml:space="preserve">Multiple custodial notes recorded the appellant’s stated commitment to bettering himself and staying off drugs, and not coming back to custody. He </w:t>
      </w:r>
      <w:r>
        <w:rPr>
          <w:rFonts w:ascii="Arial" w:hAnsi="Arial" w:cs="Arial"/>
          <w:kern w:val="0"/>
          <w:lang w:val="en-GB"/>
        </w:rPr>
        <w:lastRenderedPageBreak/>
        <w:t xml:space="preserve">expressed concern for the victim of his offence, and indicated that he did not have to do what he did and should have asked NDIS for help. </w:t>
      </w:r>
    </w:p>
    <w:p w14:paraId="057644A8"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73</w:t>
      </w:r>
      <w:r>
        <w:rPr>
          <w:rFonts w:ascii="Arial" w:hAnsi="Arial" w:cs="Arial"/>
          <w:kern w:val="0"/>
          <w:lang w:val="en-GB"/>
        </w:rPr>
        <w:tab/>
        <w:t xml:space="preserve">The appellant’s solicitor annexed documentation confirming the funding of the appellant’s NDIS plan. </w:t>
      </w:r>
    </w:p>
    <w:p w14:paraId="253491BD"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74</w:t>
      </w:r>
      <w:r>
        <w:rPr>
          <w:rFonts w:ascii="Arial" w:hAnsi="Arial" w:cs="Arial"/>
          <w:kern w:val="0"/>
          <w:lang w:val="en-GB"/>
        </w:rPr>
        <w:tab/>
        <w:t>Section 24 of the Act provides:</w:t>
      </w:r>
    </w:p>
    <w:p w14:paraId="6CC7B5AE"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In sentencing an offender, the court must take into account—</w:t>
      </w:r>
    </w:p>
    <w:p w14:paraId="4491D2FD"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(a) any time for which the offender has been held in custody in relation to the offence, </w:t>
      </w:r>
    </w:p>
    <w:p w14:paraId="29581AA3"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 xml:space="preserve">… </w:t>
      </w:r>
    </w:p>
    <w:p w14:paraId="3402BA2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75</w:t>
      </w:r>
      <w:r>
        <w:rPr>
          <w:rFonts w:ascii="Arial" w:hAnsi="Arial" w:cs="Arial"/>
          <w:kern w:val="0"/>
          <w:lang w:val="en-GB"/>
        </w:rPr>
        <w:tab/>
        <w:t>Section 47 of the Act is in the following terms:</w:t>
      </w:r>
    </w:p>
    <w:p w14:paraId="67AD3DD1"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b/>
          <w:bCs/>
          <w:kern w:val="0"/>
          <w:sz w:val="22"/>
          <w:szCs w:val="22"/>
          <w:lang w:val="en-GB"/>
        </w:rPr>
        <w:t>47 Commencement of sentence</w:t>
      </w:r>
    </w:p>
    <w:p w14:paraId="7C296339"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(1) A sentence of imprisonment commences, subject to section 71 and to any direction under subsection (2), on the day on which the sentence is imposed.</w:t>
      </w:r>
    </w:p>
    <w:p w14:paraId="5AD07BEA"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(2) A court may direct that a sentence of imprisonment--</w:t>
      </w:r>
    </w:p>
    <w:p w14:paraId="0B2EA3BE"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(a) is taken to have commenced on a day occurring before the day on which the sentence is imposed, or</w:t>
      </w:r>
    </w:p>
    <w:p w14:paraId="174C5A70" w14:textId="77777777" w:rsidR="006C7785" w:rsidRDefault="006C7785">
      <w:pPr>
        <w:widowControl w:val="0"/>
        <w:autoSpaceDE w:val="0"/>
        <w:autoSpaceDN w:val="0"/>
        <w:adjustRightInd w:val="0"/>
        <w:spacing w:before="150" w:after="150" w:line="240" w:lineRule="auto"/>
        <w:ind w:left="2100" w:right="-6"/>
        <w:rPr>
          <w:rFonts w:ascii="Times New Roman" w:hAnsi="Times New Roman" w:cs="Times New Roman"/>
          <w:kern w:val="0"/>
          <w:sz w:val="22"/>
          <w:szCs w:val="22"/>
          <w:lang w:val="en-GB"/>
        </w:rPr>
      </w:pPr>
      <w:r>
        <w:rPr>
          <w:rFonts w:ascii="Arial" w:hAnsi="Arial" w:cs="Arial"/>
          <w:kern w:val="0"/>
          <w:sz w:val="22"/>
          <w:szCs w:val="22"/>
          <w:lang w:val="en-GB"/>
        </w:rPr>
        <w:t>(b) commences on a day occurring after the day on which the sentence is imposed, but only if the sentence is to be served consecutively (or partly concurrently and partly consecutively) with some other sentence of imprisonment.</w:t>
      </w:r>
    </w:p>
    <w:p w14:paraId="673626D1"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(3) In deciding whether or not to make a direction under subsection (2) (a) with respect to a sentence of imprisonment, and in deciding the day on which the sentence is taken to have commenced, the court must take into account any time for which the offender has been held in custody in relation to the offence or, in the case of an aggregate sentence of imprisonment, any of the offences to which the sentence relates.</w:t>
      </w:r>
    </w:p>
    <w:p w14:paraId="237C1F9B" w14:textId="77777777" w:rsidR="006C7785" w:rsidRDefault="006C7785">
      <w:pPr>
        <w:widowControl w:val="0"/>
        <w:autoSpaceDE w:val="0"/>
        <w:autoSpaceDN w:val="0"/>
        <w:adjustRightInd w:val="0"/>
        <w:spacing w:before="150" w:after="150" w:line="240" w:lineRule="auto"/>
        <w:ind w:left="1350" w:right="-6"/>
        <w:rPr>
          <w:rFonts w:ascii="Times New Roman" w:hAnsi="Times New Roman" w:cs="Times New Roman"/>
          <w:kern w:val="0"/>
          <w:sz w:val="22"/>
          <w:szCs w:val="22"/>
          <w:lang w:val="en-GB"/>
        </w:rPr>
      </w:pPr>
      <w:r>
        <w:rPr>
          <w:rFonts w:ascii="Arial" w:hAnsi="Arial" w:cs="Arial"/>
          <w:kern w:val="0"/>
          <w:sz w:val="22"/>
          <w:szCs w:val="22"/>
          <w:lang w:val="en-GB"/>
        </w:rPr>
        <w:t xml:space="preserve">… </w:t>
      </w:r>
    </w:p>
    <w:p w14:paraId="6BD54490"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76</w:t>
      </w:r>
      <w:r>
        <w:rPr>
          <w:rFonts w:ascii="Arial" w:hAnsi="Arial" w:cs="Arial"/>
          <w:kern w:val="0"/>
          <w:lang w:val="en-GB"/>
        </w:rPr>
        <w:tab/>
        <w:t xml:space="preserve">Whether the concession at first instance by the appellant’s representative that the threshold in s 5 of the Act was met was correct, and whether an Intensive Correction Order instead of full-time imprisonment should have been sought if it was, were at the stage of the appeal being heard academic questions. The appellant had spent close to two years in custody at the time the Court made orders. This time in custody was required to be taken into account. Doing so, there was no basis for any </w:t>
      </w:r>
      <w:r>
        <w:rPr>
          <w:rFonts w:ascii="Arial" w:hAnsi="Arial" w:cs="Arial"/>
          <w:kern w:val="0"/>
          <w:lang w:val="en-GB"/>
        </w:rPr>
        <w:lastRenderedPageBreak/>
        <w:t>further punishment of the appellant. That time in custody had by a significant extent already completely addressed all the punitive, deterrent and denunciatory purposes of sentencing, or justifications for which a sentence may be imposed. A sentence disproportionate to all the circumstances relevant to the offending could not at that point have been imposed in an attempt to assist the appellant’s rehabilitation.</w:t>
      </w:r>
    </w:p>
    <w:p w14:paraId="6FB43E8C"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77</w:t>
      </w:r>
      <w:r>
        <w:rPr>
          <w:rFonts w:ascii="Arial" w:hAnsi="Arial" w:cs="Arial"/>
          <w:kern w:val="0"/>
          <w:lang w:val="en-GB"/>
        </w:rPr>
        <w:tab/>
      </w:r>
      <w:commentRangeStart w:id="22"/>
      <w:r w:rsidRPr="002B5896">
        <w:rPr>
          <w:rFonts w:ascii="Arial" w:hAnsi="Arial" w:cs="Arial"/>
          <w:kern w:val="0"/>
          <w:highlight w:val="darkGray"/>
          <w:lang w:val="en-GB"/>
        </w:rPr>
        <w:t>There was accordingly no alternative to imposing a sentence other than imprisonment</w:t>
      </w:r>
      <w:commentRangeEnd w:id="22"/>
      <w:r w:rsidR="002B5896">
        <w:rPr>
          <w:rStyle w:val="CommentReference"/>
        </w:rPr>
        <w:commentReference w:id="22"/>
      </w:r>
      <w:r>
        <w:rPr>
          <w:rFonts w:ascii="Arial" w:hAnsi="Arial" w:cs="Arial"/>
          <w:kern w:val="0"/>
          <w:lang w:val="en-GB"/>
        </w:rPr>
        <w:t>, and no method available of serving that sentence other than on a full-term basis.</w:t>
      </w:r>
    </w:p>
    <w:p w14:paraId="70D072D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78</w:t>
      </w:r>
      <w:r>
        <w:rPr>
          <w:rFonts w:ascii="Arial" w:hAnsi="Arial" w:cs="Arial"/>
          <w:kern w:val="0"/>
          <w:lang w:val="en-GB"/>
        </w:rPr>
        <w:tab/>
        <w:t xml:space="preserve">Taking into account the circumstances of the offence and the offender demonstrated by the evidence adduced at first instance, and the additional material placed before the Court to consider on resentencing, an appropriate starting point prior to discount for the utilitarian value of the guilty plea is 2 years imprisonment. </w:t>
      </w:r>
      <w:commentRangeStart w:id="23"/>
      <w:r w:rsidRPr="002B5896">
        <w:rPr>
          <w:rFonts w:ascii="Arial" w:hAnsi="Arial" w:cs="Arial"/>
          <w:kern w:val="0"/>
          <w:highlight w:val="magenta"/>
          <w:lang w:val="en-GB"/>
        </w:rPr>
        <w:t>This was objectively a very low level offence of armed robbery, committed by a man whose moral culpability for it was greatly reduced</w:t>
      </w:r>
      <w:r>
        <w:rPr>
          <w:rFonts w:ascii="Arial" w:hAnsi="Arial" w:cs="Arial"/>
          <w:kern w:val="0"/>
          <w:lang w:val="en-GB"/>
        </w:rPr>
        <w:t>,</w:t>
      </w:r>
      <w:commentRangeEnd w:id="23"/>
      <w:r w:rsidR="002B5896">
        <w:rPr>
          <w:rStyle w:val="CommentReference"/>
        </w:rPr>
        <w:commentReference w:id="23"/>
      </w:r>
      <w:r>
        <w:rPr>
          <w:rFonts w:ascii="Arial" w:hAnsi="Arial" w:cs="Arial"/>
          <w:kern w:val="0"/>
          <w:lang w:val="en-GB"/>
        </w:rPr>
        <w:t xml:space="preserve"> and who was not a suitable vehicle for general deterrence. Although the appellant was subject to three forms of conditional liberty at the time of offending, and her Honour’s determination that it was unrealistic to be anything other than guarded about his prospects of rehabilitation was plainly well founded, there is cause for some hope on the basis of the material relied upon for resentence in this Court.</w:t>
      </w:r>
    </w:p>
    <w:p w14:paraId="07D1ED23"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79</w:t>
      </w:r>
      <w:r>
        <w:rPr>
          <w:rFonts w:ascii="Arial" w:hAnsi="Arial" w:cs="Arial"/>
          <w:kern w:val="0"/>
          <w:lang w:val="en-GB"/>
        </w:rPr>
        <w:tab/>
        <w:t xml:space="preserve">A finding of special circumstances should be made for the same reasons as provided by her Honour. Although the appellant is not in fact to receive an extended period of supervision in the community, the non-parole period on his criminal record should reflect the true minimum time in custody necessary, referable to this offending, in his circumstances. </w:t>
      </w:r>
    </w:p>
    <w:p w14:paraId="1B82FB29"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80</w:t>
      </w:r>
      <w:r>
        <w:rPr>
          <w:rFonts w:ascii="Arial" w:hAnsi="Arial" w:cs="Arial"/>
          <w:kern w:val="0"/>
          <w:lang w:val="en-GB"/>
        </w:rPr>
        <w:tab/>
        <w:t xml:space="preserve">Reducing the sentence of 2 years imprisonment by 25% results in a sentence of imprisonment of 18 months. Maintaining approximately the ratio between head sentence and non-parole period utilised by her Honour results in a non-parole period of 10 months imprisonment. There was no reason to vary the commencement date selected by her Honour. </w:t>
      </w:r>
    </w:p>
    <w:p w14:paraId="0AEA0427" w14:textId="77777777" w:rsidR="006C7785" w:rsidRDefault="006C7785">
      <w:pPr>
        <w:widowControl w:val="0"/>
        <w:autoSpaceDE w:val="0"/>
        <w:autoSpaceDN w:val="0"/>
        <w:adjustRightInd w:val="0"/>
        <w:spacing w:before="150" w:after="150" w:line="264" w:lineRule="auto"/>
        <w:ind w:right="-6"/>
        <w:rPr>
          <w:rFonts w:ascii="Times New Roman" w:hAnsi="Times New Roman" w:cs="Times New Roman"/>
          <w:b/>
          <w:bCs/>
          <w:kern w:val="0"/>
          <w:lang w:val="en-GB"/>
        </w:rPr>
      </w:pPr>
      <w:r>
        <w:rPr>
          <w:rFonts w:ascii="Arial" w:hAnsi="Arial" w:cs="Arial"/>
          <w:b/>
          <w:bCs/>
          <w:kern w:val="0"/>
          <w:lang w:val="en-GB"/>
        </w:rPr>
        <w:t>Orders</w:t>
      </w:r>
    </w:p>
    <w:p w14:paraId="4EADFEBE" w14:textId="77777777" w:rsidR="006C7785" w:rsidRDefault="006C7785" w:rsidP="00A4684F">
      <w:pPr>
        <w:widowControl w:val="0"/>
        <w:autoSpaceDE w:val="0"/>
        <w:autoSpaceDN w:val="0"/>
        <w:adjustRightInd w:val="0"/>
        <w:spacing w:before="150" w:after="0" w:line="360" w:lineRule="auto"/>
        <w:ind w:right="-6"/>
        <w:rPr>
          <w:rFonts w:ascii="Times New Roman" w:hAnsi="Times New Roman" w:cs="Times New Roman"/>
          <w:kern w:val="0"/>
          <w:lang w:val="en-GB"/>
        </w:rPr>
      </w:pPr>
      <w:r>
        <w:rPr>
          <w:rFonts w:ascii="Arial" w:hAnsi="Arial" w:cs="Arial"/>
          <w:kern w:val="0"/>
          <w:lang w:val="en-GB"/>
        </w:rPr>
        <w:t>81</w:t>
      </w:r>
      <w:r>
        <w:rPr>
          <w:rFonts w:ascii="Arial" w:hAnsi="Arial" w:cs="Arial"/>
          <w:kern w:val="0"/>
          <w:lang w:val="en-GB"/>
        </w:rPr>
        <w:tab/>
        <w:t xml:space="preserve">Accordingly, the orders set out above were made on 8 October 2025. </w:t>
      </w:r>
    </w:p>
    <w:p w14:paraId="0E1D32B7" w14:textId="49C3B376" w:rsidR="00E118EC" w:rsidRPr="008153A8" w:rsidRDefault="00E118EC" w:rsidP="008153A8">
      <w:pPr>
        <w:pStyle w:val="Heading2"/>
        <w:rPr>
          <w:lang w:val="en-GB"/>
        </w:rPr>
      </w:pPr>
      <w:r w:rsidRPr="00E118EC">
        <w:rPr>
          <w:lang w:val="en-GB"/>
        </w:rPr>
        <w:lastRenderedPageBreak/>
        <w:t>RESPONSE</w:t>
      </w:r>
    </w:p>
    <w:p w14:paraId="1AF18864" w14:textId="77777777" w:rsidR="00031DEE" w:rsidRPr="00031DEE" w:rsidRDefault="00031DEE" w:rsidP="00031DEE">
      <w:pPr>
        <w:pStyle w:val="Heading1"/>
        <w:spacing w:before="0" w:after="120" w:line="360" w:lineRule="auto"/>
        <w:rPr>
          <w:rFonts w:ascii="Times New Roman" w:hAnsi="Times New Roman" w:cs="Times New Roman"/>
          <w:b/>
          <w:bCs/>
          <w:sz w:val="24"/>
          <w:szCs w:val="24"/>
        </w:rPr>
      </w:pPr>
      <w:r w:rsidRPr="00031DEE">
        <w:rPr>
          <w:rFonts w:ascii="Times New Roman" w:hAnsi="Times New Roman" w:cs="Times New Roman"/>
          <w:b/>
          <w:bCs/>
          <w:color w:val="1F1F1F"/>
          <w:sz w:val="24"/>
          <w:szCs w:val="24"/>
        </w:rPr>
        <w:t>Case Note: Luchetti v R</w:t>
      </w:r>
    </w:p>
    <w:p w14:paraId="3F0A1EC6"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Citation</w:t>
      </w:r>
    </w:p>
    <w:p w14:paraId="024B5F7C" w14:textId="265CAEBF" w:rsidR="00031DEE" w:rsidRPr="00031DEE" w:rsidRDefault="00031DEE" w:rsidP="00031DEE">
      <w:pPr>
        <w:pStyle w:val="NormalWeb"/>
        <w:spacing w:before="0" w:beforeAutospacing="0" w:after="240" w:afterAutospacing="0" w:line="360" w:lineRule="auto"/>
      </w:pPr>
      <w:r w:rsidRPr="00031DEE">
        <w:rPr>
          <w:color w:val="1F1F1F"/>
        </w:rPr>
        <w:t xml:space="preserve">The citation for the medium neutral version of this case is </w:t>
      </w:r>
      <w:r w:rsidRPr="00031DEE">
        <w:rPr>
          <w:i/>
          <w:iCs/>
          <w:color w:val="1F1F1F"/>
        </w:rPr>
        <w:t>Luchetti v R</w:t>
      </w:r>
      <w:r w:rsidRPr="00031DEE">
        <w:rPr>
          <w:color w:val="1F1F1F"/>
        </w:rPr>
        <w:t xml:space="preserve"> [2025] NSWCCA 222.</w:t>
      </w:r>
      <w:r w:rsidRPr="00031DEE">
        <w:rPr>
          <w:rStyle w:val="FootnoteReference"/>
        </w:rPr>
        <w:footnoteReference w:id="1"/>
      </w:r>
    </w:p>
    <w:p w14:paraId="209ACB73"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The court (jurisdiction) and the judge(s).</w:t>
      </w:r>
    </w:p>
    <w:p w14:paraId="6D7BC57B" w14:textId="77777777" w:rsidR="00031DEE" w:rsidRPr="00031DEE" w:rsidRDefault="00031DEE" w:rsidP="00031DEE">
      <w:pPr>
        <w:pStyle w:val="NormalWeb"/>
        <w:spacing w:before="0" w:beforeAutospacing="0" w:after="240" w:afterAutospacing="0" w:line="360" w:lineRule="auto"/>
      </w:pPr>
      <w:r w:rsidRPr="00031DEE">
        <w:rPr>
          <w:color w:val="1F1F1F"/>
        </w:rPr>
        <w:t>This appeal was heard in the Court of Criminal Appeal within the Supreme Court of New South Wales before Mitchelmore JA, Kirk JA, and Rigg J.</w:t>
      </w:r>
    </w:p>
    <w:p w14:paraId="4053F433"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Procedural history</w:t>
      </w:r>
    </w:p>
    <w:p w14:paraId="6FCC0D62" w14:textId="75306463" w:rsidR="00031DEE" w:rsidRPr="00031DEE" w:rsidRDefault="00031DEE" w:rsidP="00031DEE">
      <w:pPr>
        <w:pStyle w:val="NormalWeb"/>
        <w:spacing w:before="0" w:beforeAutospacing="0" w:after="240" w:afterAutospacing="0" w:line="360" w:lineRule="auto"/>
      </w:pPr>
      <w:r w:rsidRPr="00031DEE">
        <w:rPr>
          <w:color w:val="1F1F1F"/>
        </w:rPr>
        <w:t>This case is an appeal to the New South Wales Court of Criminal Appeal from a sentencing decision made in the District Court of New South Wales. At first instance, the appellant entered an early guilty plea to the offence of robbery whilst armed with an offensive weapon. The primary judge applied a 25 percent discount for the early plea and sentenced the appellant to a total term of four years imprisonment, with a non</w:t>
      </w:r>
      <w:r w:rsidR="00E1646F">
        <w:rPr>
          <w:color w:val="1F1F1F"/>
        </w:rPr>
        <w:t xml:space="preserve"> </w:t>
      </w:r>
      <w:r w:rsidRPr="00031DEE">
        <w:rPr>
          <w:color w:val="1F1F1F"/>
        </w:rPr>
        <w:t>parole period of two years and three months.</w:t>
      </w:r>
      <w:r w:rsidRPr="00031DEE">
        <w:rPr>
          <w:rStyle w:val="FootnoteReference"/>
          <w:color w:val="1F1F1F"/>
        </w:rPr>
        <w:footnoteReference w:id="2"/>
      </w:r>
      <w:r w:rsidRPr="00031DEE">
        <w:rPr>
          <w:color w:val="1F1F1F"/>
        </w:rPr>
        <w:t xml:space="preserve"> Following this decision, the appellant sought leave to appeal the severity and formulation of the sentence pursuant to section 5(1)(c) of the </w:t>
      </w:r>
      <w:r w:rsidRPr="00031DEE">
        <w:rPr>
          <w:i/>
          <w:iCs/>
          <w:color w:val="1F1F1F"/>
        </w:rPr>
        <w:t>Criminal Appeal Act 1912</w:t>
      </w:r>
      <w:r w:rsidRPr="00031DEE">
        <w:rPr>
          <w:color w:val="1F1F1F"/>
        </w:rPr>
        <w:t xml:space="preserve"> (NSW).</w:t>
      </w:r>
      <w:r w:rsidRPr="00031DEE">
        <w:rPr>
          <w:rStyle w:val="FootnoteReference"/>
          <w:color w:val="1F1F1F"/>
        </w:rPr>
        <w:footnoteReference w:id="3"/>
      </w:r>
    </w:p>
    <w:p w14:paraId="022A6609"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Relevant facts</w:t>
      </w:r>
    </w:p>
    <w:p w14:paraId="2D9EA38E" w14:textId="7CB8A6DA" w:rsidR="00031DEE" w:rsidRPr="00031DEE" w:rsidRDefault="00031DEE" w:rsidP="00031DEE">
      <w:pPr>
        <w:pStyle w:val="NormalWeb"/>
        <w:spacing w:before="0" w:beforeAutospacing="0" w:after="240" w:afterAutospacing="0" w:line="360" w:lineRule="auto"/>
        <w:rPr>
          <w:color w:val="1F1F1F"/>
        </w:rPr>
      </w:pPr>
      <w:r w:rsidRPr="00031DEE">
        <w:rPr>
          <w:color w:val="1F1F1F"/>
        </w:rPr>
        <w:t>On 11 November 2023, the appellant entered a Liquorland store, placed a bottle of whiskey valued at $97 into his bag, and proceeded towards the exit.</w:t>
      </w:r>
      <w:r w:rsidRPr="00031DEE">
        <w:rPr>
          <w:rStyle w:val="FootnoteReference"/>
          <w:color w:val="1F1F1F"/>
        </w:rPr>
        <w:footnoteReference w:id="4"/>
      </w:r>
      <w:r w:rsidRPr="00031DEE">
        <w:rPr>
          <w:color w:val="1F1F1F"/>
        </w:rPr>
        <w:t xml:space="preserve"> The victim, who was an employee of the store, approached the appellant and asked if he intended to pay for the item.</w:t>
      </w:r>
      <w:r w:rsidRPr="00031DEE">
        <w:rPr>
          <w:rStyle w:val="FootnoteReference"/>
          <w:color w:val="1F1F1F"/>
        </w:rPr>
        <w:footnoteReference w:id="5"/>
      </w:r>
      <w:r w:rsidRPr="00031DEE">
        <w:rPr>
          <w:color w:val="1F1F1F"/>
        </w:rPr>
        <w:t xml:space="preserve"> In response, the appellant raised his right hand towards the victim and stated, "Don't come near me."</w:t>
      </w:r>
      <w:r w:rsidRPr="00031DEE">
        <w:rPr>
          <w:rStyle w:val="FootnoteReference"/>
          <w:color w:val="1F1F1F"/>
        </w:rPr>
        <w:footnoteReference w:id="6"/>
      </w:r>
      <w:r w:rsidRPr="00031DEE">
        <w:rPr>
          <w:color w:val="1F1F1F"/>
        </w:rPr>
        <w:t xml:space="preserve"> The victim observed a black object in the appellant's hand which he initially thought was shaped like a small gun, though he quickly realised it was not a real firearm.</w:t>
      </w:r>
      <w:r w:rsidRPr="00031DEE">
        <w:rPr>
          <w:rStyle w:val="FootnoteReference"/>
          <w:color w:val="1F1F1F"/>
        </w:rPr>
        <w:footnoteReference w:id="7"/>
      </w:r>
      <w:r w:rsidRPr="00031DEE">
        <w:rPr>
          <w:color w:val="1F1F1F"/>
        </w:rPr>
        <w:t xml:space="preserve"> </w:t>
      </w:r>
      <w:r w:rsidRPr="00031DEE">
        <w:rPr>
          <w:color w:val="1F1F1F"/>
        </w:rPr>
        <w:lastRenderedPageBreak/>
        <w:t>The object was, in fact, a cigarette lighter.</w:t>
      </w:r>
      <w:r w:rsidRPr="00031DEE">
        <w:rPr>
          <w:rStyle w:val="FootnoteReference"/>
          <w:color w:val="1F1F1F"/>
        </w:rPr>
        <w:footnoteReference w:id="8"/>
      </w:r>
      <w:r w:rsidRPr="00031DEE">
        <w:rPr>
          <w:color w:val="1F1F1F"/>
        </w:rPr>
        <w:t xml:space="preserve"> The victim felt fearful and stopped approaching, allowing the appellant to leave the store. The appellant was subsequently arrested six days later on 17 November 2023.</w:t>
      </w:r>
      <w:r w:rsidRPr="00031DEE">
        <w:rPr>
          <w:rStyle w:val="FootnoteReference"/>
          <w:color w:val="1F1F1F"/>
        </w:rPr>
        <w:footnoteReference w:id="9"/>
      </w:r>
      <w:r w:rsidRPr="00031DEE">
        <w:rPr>
          <w:color w:val="1F1F1F"/>
        </w:rPr>
        <w:t xml:space="preserve"> At the time of the offending, the 38</w:t>
      </w:r>
      <w:r w:rsidR="00E1646F">
        <w:rPr>
          <w:color w:val="1F1F1F"/>
        </w:rPr>
        <w:t xml:space="preserve"> </w:t>
      </w:r>
      <w:r w:rsidRPr="00031DEE">
        <w:rPr>
          <w:color w:val="1F1F1F"/>
        </w:rPr>
        <w:t>year</w:t>
      </w:r>
      <w:r w:rsidR="00E1646F">
        <w:rPr>
          <w:color w:val="1F1F1F"/>
        </w:rPr>
        <w:t xml:space="preserve"> </w:t>
      </w:r>
      <w:r w:rsidRPr="00031DEE">
        <w:rPr>
          <w:color w:val="1F1F1F"/>
        </w:rPr>
        <w:t>old appellant was suffering from chronic, treatment</w:t>
      </w:r>
      <w:r w:rsidR="00E1646F">
        <w:rPr>
          <w:color w:val="1F1F1F"/>
        </w:rPr>
        <w:t xml:space="preserve"> </w:t>
      </w:r>
      <w:r w:rsidRPr="00031DEE">
        <w:rPr>
          <w:color w:val="1F1F1F"/>
        </w:rPr>
        <w:t>resistant schizophrenia, auditory hallucinations, and a substance use disorder.</w:t>
      </w:r>
      <w:r w:rsidRPr="00031DEE">
        <w:rPr>
          <w:rStyle w:val="FootnoteReference"/>
          <w:color w:val="1F1F1F"/>
        </w:rPr>
        <w:footnoteReference w:id="10"/>
      </w:r>
    </w:p>
    <w:p w14:paraId="200B5E68"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Legal issues</w:t>
      </w:r>
    </w:p>
    <w:p w14:paraId="4F53FC07" w14:textId="593C2B38" w:rsidR="00031DEE" w:rsidRPr="00031DEE" w:rsidRDefault="00031DEE" w:rsidP="00031DEE">
      <w:pPr>
        <w:pStyle w:val="NormalWeb"/>
        <w:spacing w:before="0" w:beforeAutospacing="0" w:after="240" w:afterAutospacing="0" w:line="360" w:lineRule="auto"/>
        <w:rPr>
          <w:color w:val="1F1F1F"/>
        </w:rPr>
      </w:pPr>
      <w:r w:rsidRPr="00031DEE">
        <w:rPr>
          <w:color w:val="1F1F1F"/>
        </w:rPr>
        <w:t xml:space="preserve">There were three main issues in contention on appeal. Firstly, did the sentencing judge err in assessing the objective seriousness of the offence by erroneously applying the </w:t>
      </w:r>
      <w:r w:rsidRPr="00031DEE">
        <w:rPr>
          <w:i/>
          <w:iCs/>
          <w:color w:val="1F1F1F"/>
        </w:rPr>
        <w:t>R v Henry</w:t>
      </w:r>
      <w:r w:rsidRPr="00031DEE">
        <w:rPr>
          <w:color w:val="1F1F1F"/>
        </w:rPr>
        <w:t xml:space="preserve"> guideline judgment to the facts, failing to disclose her assessment, or erring in fact regarding the nature of the weapon?</w:t>
      </w:r>
      <w:r w:rsidRPr="00031DEE">
        <w:rPr>
          <w:rStyle w:val="FootnoteReference"/>
          <w:color w:val="1F1F1F"/>
        </w:rPr>
        <w:footnoteReference w:id="11"/>
      </w:r>
      <w:r w:rsidRPr="00031DEE">
        <w:rPr>
          <w:color w:val="1F1F1F"/>
        </w:rPr>
        <w:t xml:space="preserve"> Secondly, did the sentencing judge err by failing to consider whether the appellant's mental health conditions would make a full</w:t>
      </w:r>
      <w:r w:rsidR="00E1646F">
        <w:rPr>
          <w:color w:val="1F1F1F"/>
        </w:rPr>
        <w:t xml:space="preserve"> </w:t>
      </w:r>
      <w:r w:rsidRPr="00031DEE">
        <w:rPr>
          <w:color w:val="1F1F1F"/>
        </w:rPr>
        <w:t>time custodial sentence more onerous?</w:t>
      </w:r>
      <w:r w:rsidRPr="00031DEE">
        <w:rPr>
          <w:rStyle w:val="FootnoteReference"/>
          <w:color w:val="1F1F1F"/>
        </w:rPr>
        <w:footnoteReference w:id="12"/>
      </w:r>
      <w:r w:rsidRPr="00031DEE">
        <w:rPr>
          <w:color w:val="1F1F1F"/>
        </w:rPr>
        <w:t xml:space="preserve"> Thirdly, was the sentence imposed by the primary judge manifestly excessive?</w:t>
      </w:r>
      <w:r w:rsidRPr="00031DEE">
        <w:rPr>
          <w:rStyle w:val="FootnoteReference"/>
          <w:color w:val="1F1F1F"/>
        </w:rPr>
        <w:footnoteReference w:id="13"/>
      </w:r>
    </w:p>
    <w:p w14:paraId="5AAAB8ED" w14:textId="25D09E41" w:rsidR="00031DEE" w:rsidRPr="00031DEE" w:rsidRDefault="00031DEE" w:rsidP="00031DEE">
      <w:pPr>
        <w:pStyle w:val="NormalWeb"/>
        <w:spacing w:before="0" w:beforeAutospacing="0" w:after="240" w:afterAutospacing="0" w:line="360" w:lineRule="auto"/>
        <w:rPr>
          <w:b/>
          <w:bCs/>
          <w:color w:val="1F1F1F"/>
        </w:rPr>
      </w:pPr>
      <w:r w:rsidRPr="00031DEE">
        <w:rPr>
          <w:b/>
          <w:bCs/>
          <w:color w:val="1F1F1F"/>
        </w:rPr>
        <w:t>Reason(s) for the decision.</w:t>
      </w:r>
    </w:p>
    <w:p w14:paraId="6285436C" w14:textId="61ED71BB" w:rsidR="00031DEE" w:rsidRPr="00031DEE" w:rsidRDefault="00031DEE" w:rsidP="00031DEE">
      <w:pPr>
        <w:pStyle w:val="NormalWeb"/>
        <w:spacing w:before="0" w:beforeAutospacing="0" w:after="240" w:afterAutospacing="0" w:line="360" w:lineRule="auto"/>
      </w:pPr>
      <w:r w:rsidRPr="00031DEE">
        <w:rPr>
          <w:color w:val="1F1F1F"/>
        </w:rPr>
        <w:t xml:space="preserve">The Court found that the primary sentencing judge made a material error when assessing the objective seriousness of the offence by comparing it to the </w:t>
      </w:r>
      <w:r w:rsidRPr="00031DEE">
        <w:rPr>
          <w:i/>
          <w:iCs/>
          <w:color w:val="1F1F1F"/>
        </w:rPr>
        <w:t>R v Henry</w:t>
      </w:r>
      <w:r w:rsidRPr="00031DEE">
        <w:rPr>
          <w:color w:val="1F1F1F"/>
        </w:rPr>
        <w:t xml:space="preserve"> guideline judgment without adequately accounting for the significant factual differences.</w:t>
      </w:r>
      <w:r w:rsidRPr="00031DEE">
        <w:rPr>
          <w:rStyle w:val="FootnoteReference"/>
          <w:color w:val="1F1F1F"/>
        </w:rPr>
        <w:footnoteReference w:id="14"/>
      </w:r>
      <w:r w:rsidRPr="00031DEE">
        <w:rPr>
          <w:color w:val="1F1F1F"/>
        </w:rPr>
        <w:t xml:space="preserve"> The Court reasoned that the weapon used by the appellant</w:t>
      </w:r>
      <w:r w:rsidR="00E1646F">
        <w:rPr>
          <w:color w:val="1F1F1F"/>
        </w:rPr>
        <w:t xml:space="preserve">, </w:t>
      </w:r>
      <w:r w:rsidRPr="00031DEE">
        <w:rPr>
          <w:color w:val="1F1F1F"/>
        </w:rPr>
        <w:t>a lighter</w:t>
      </w:r>
      <w:r w:rsidR="00E1646F">
        <w:rPr>
          <w:color w:val="1F1F1F"/>
        </w:rPr>
        <w:t xml:space="preserve">, </w:t>
      </w:r>
      <w:r w:rsidRPr="00031DEE">
        <w:rPr>
          <w:color w:val="1F1F1F"/>
        </w:rPr>
        <w:t xml:space="preserve">was profoundly different in its capacity to inflict physical harm and engender fear when compared to the highly dangerous weapons, such as knives, contemplated in the </w:t>
      </w:r>
      <w:r w:rsidRPr="00031DEE">
        <w:rPr>
          <w:i/>
          <w:iCs/>
          <w:color w:val="1F1F1F"/>
        </w:rPr>
        <w:t>Henry</w:t>
      </w:r>
      <w:r w:rsidRPr="00031DEE">
        <w:rPr>
          <w:color w:val="1F1F1F"/>
        </w:rPr>
        <w:t xml:space="preserve"> guideline.</w:t>
      </w:r>
      <w:r w:rsidRPr="00031DEE">
        <w:rPr>
          <w:rStyle w:val="FootnoteReference"/>
          <w:color w:val="1F1F1F"/>
        </w:rPr>
        <w:footnoteReference w:id="15"/>
      </w:r>
      <w:r w:rsidRPr="00031DEE">
        <w:rPr>
          <w:color w:val="1F1F1F"/>
        </w:rPr>
        <w:t xml:space="preserve"> Furthermore, the Court noted that the level of threatened violence was exceptionally low and amounted to no more than what was strictly necessary to satisfy the basic legal elements of an armed robbery charge, falling far short of the "real threat" of actual violence described in the guideline.</w:t>
      </w:r>
      <w:r w:rsidRPr="00031DEE">
        <w:rPr>
          <w:rStyle w:val="FootnoteReference"/>
          <w:color w:val="1F1F1F"/>
        </w:rPr>
        <w:footnoteReference w:id="16"/>
      </w:r>
      <w:r w:rsidRPr="00031DEE">
        <w:rPr>
          <w:color w:val="1F1F1F"/>
        </w:rPr>
        <w:t xml:space="preserve"> Because the circumstances of the appellant's case were so vastly different from the frequently recurring case outlined in </w:t>
      </w:r>
      <w:r w:rsidRPr="00031DEE">
        <w:rPr>
          <w:i/>
          <w:iCs/>
          <w:color w:val="1F1F1F"/>
        </w:rPr>
        <w:t>Henry</w:t>
      </w:r>
      <w:r w:rsidRPr="00031DEE">
        <w:rPr>
          <w:color w:val="1F1F1F"/>
        </w:rPr>
        <w:t xml:space="preserve">, the guideline offered no actual utility for this specific sentencing </w:t>
      </w:r>
      <w:r w:rsidRPr="00031DEE">
        <w:rPr>
          <w:color w:val="1F1F1F"/>
        </w:rPr>
        <w:lastRenderedPageBreak/>
        <w:t>exercise.</w:t>
      </w:r>
      <w:r w:rsidRPr="00031DEE">
        <w:rPr>
          <w:rStyle w:val="FootnoteReference"/>
          <w:color w:val="1F1F1F"/>
        </w:rPr>
        <w:footnoteReference w:id="17"/>
      </w:r>
      <w:r w:rsidRPr="00031DEE">
        <w:rPr>
          <w:color w:val="1F1F1F"/>
        </w:rPr>
        <w:t xml:space="preserve"> Consequently, the primary judge's failure to explicitly explain how much less objectively serious the appellant's conduct was compared to the guideline constituted a material legal error.</w:t>
      </w:r>
      <w:r w:rsidRPr="00031DEE">
        <w:rPr>
          <w:rStyle w:val="FootnoteReference"/>
          <w:color w:val="1F1F1F"/>
        </w:rPr>
        <w:footnoteReference w:id="18"/>
      </w:r>
    </w:p>
    <w:p w14:paraId="2D787295"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Ratio</w:t>
      </w:r>
    </w:p>
    <w:p w14:paraId="00D08AA3" w14:textId="6E782A56" w:rsidR="00031DEE" w:rsidRPr="00031DEE" w:rsidRDefault="00031DEE" w:rsidP="00031DEE">
      <w:pPr>
        <w:pStyle w:val="NormalWeb"/>
        <w:spacing w:before="0" w:beforeAutospacing="0" w:after="240" w:afterAutospacing="0" w:line="360" w:lineRule="auto"/>
      </w:pPr>
      <w:r w:rsidRPr="00031DEE">
        <w:rPr>
          <w:color w:val="1F1F1F"/>
        </w:rPr>
        <w:t xml:space="preserve">The guideline judgment of </w:t>
      </w:r>
      <w:r w:rsidRPr="00031DEE">
        <w:rPr>
          <w:i/>
          <w:iCs/>
          <w:color w:val="1F1F1F"/>
        </w:rPr>
        <w:t>R v Henry</w:t>
      </w:r>
      <w:r w:rsidRPr="00031DEE">
        <w:rPr>
          <w:color w:val="1F1F1F"/>
        </w:rPr>
        <w:t xml:space="preserve"> is not universally prescriptive for all armed robbery sentencing proceedings, and it is a material error for a sentencing judge to assess objective seriousness by comparing an offence to this guideline without explicitly articulating when the nature of the weapon and the level of threatened violence fall substantially below the standards contemplated by that guideline.</w:t>
      </w:r>
      <w:r w:rsidRPr="00031DEE">
        <w:rPr>
          <w:rStyle w:val="FootnoteReference"/>
          <w:color w:val="1F1F1F"/>
        </w:rPr>
        <w:footnoteReference w:id="19"/>
      </w:r>
    </w:p>
    <w:p w14:paraId="5B632DC9"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Obiter dicta</w:t>
      </w:r>
    </w:p>
    <w:p w14:paraId="27C058AA" w14:textId="04890C28" w:rsidR="00031DEE" w:rsidRPr="00031DEE" w:rsidRDefault="00031DEE" w:rsidP="00031DEE">
      <w:pPr>
        <w:pStyle w:val="NormalWeb"/>
        <w:spacing w:before="0" w:beforeAutospacing="0" w:after="240" w:afterAutospacing="0" w:line="360" w:lineRule="auto"/>
      </w:pPr>
      <w:r w:rsidRPr="00031DEE">
        <w:rPr>
          <w:color w:val="1F1F1F"/>
        </w:rPr>
        <w:t>The Court's comments regarding the second ground of appeal</w:t>
      </w:r>
      <w:r w:rsidRPr="00031DEE">
        <w:rPr>
          <w:color w:val="1F1F1F"/>
        </w:rPr>
        <w:t xml:space="preserve">, </w:t>
      </w:r>
      <w:r w:rsidRPr="00031DEE">
        <w:rPr>
          <w:color w:val="1F1F1F"/>
        </w:rPr>
        <w:t>concerning the onerousness of custody due to the appellant's mental illness</w:t>
      </w:r>
      <w:r w:rsidRPr="00031DEE">
        <w:rPr>
          <w:color w:val="1F1F1F"/>
        </w:rPr>
        <w:t xml:space="preserve">, </w:t>
      </w:r>
      <w:r w:rsidRPr="00031DEE">
        <w:rPr>
          <w:color w:val="1F1F1F"/>
        </w:rPr>
        <w:t>were made in obiter dicta, as the success of the first ground meant this issue did not strictly require formal resolution.</w:t>
      </w:r>
      <w:r w:rsidRPr="00031DEE">
        <w:rPr>
          <w:rStyle w:val="FootnoteReference"/>
          <w:color w:val="1F1F1F"/>
        </w:rPr>
        <w:footnoteReference w:id="20"/>
      </w:r>
      <w:r w:rsidRPr="00031DEE">
        <w:rPr>
          <w:color w:val="1F1F1F"/>
        </w:rPr>
        <w:t xml:space="preserve"> The Court observed that, had a determination been necessary, they would have dismissed the ground because the psychiatric evidence demonstrated the appellant was institutionalised and</w:t>
      </w:r>
      <w:r>
        <w:rPr>
          <w:rFonts w:ascii="Arial" w:hAnsi="Arial" w:cs="Arial"/>
          <w:color w:val="1F1F1F"/>
          <w:sz w:val="22"/>
          <w:szCs w:val="22"/>
        </w:rPr>
        <w:t xml:space="preserve"> actually felt more frightened in the community than in custody. Therefore, it was open to the </w:t>
      </w:r>
      <w:r w:rsidRPr="00031DEE">
        <w:rPr>
          <w:color w:val="1F1F1F"/>
        </w:rPr>
        <w:t>primary judge to focus on the appellant's preference for incarceration rather than treating his mental illness as a factor that made custody substantially more burdensome.</w:t>
      </w:r>
      <w:r w:rsidRPr="00031DEE">
        <w:rPr>
          <w:rStyle w:val="FootnoteReference"/>
          <w:color w:val="1F1F1F"/>
        </w:rPr>
        <w:footnoteReference w:id="21"/>
      </w:r>
    </w:p>
    <w:p w14:paraId="67523AD0" w14:textId="70948CA0"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The decision of the Court.</w:t>
      </w:r>
    </w:p>
    <w:p w14:paraId="58A734B3" w14:textId="29A8C980" w:rsidR="00031DEE" w:rsidRPr="00031DEE" w:rsidRDefault="00031DEE" w:rsidP="00031DEE">
      <w:pPr>
        <w:pStyle w:val="NormalWeb"/>
        <w:spacing w:before="0" w:beforeAutospacing="0" w:after="240" w:afterAutospacing="0" w:line="360" w:lineRule="auto"/>
      </w:pPr>
      <w:r w:rsidRPr="00031DEE">
        <w:rPr>
          <w:color w:val="1F1F1F"/>
        </w:rPr>
        <w:t>The Court held that the first ground of appeal was successfully made out, establishing that the primary sentencing judge made a material error in her assessment of the objective seriousness of the offence.</w:t>
      </w:r>
      <w:r w:rsidRPr="00031DEE">
        <w:rPr>
          <w:rStyle w:val="FootnoteReference"/>
          <w:color w:val="1F1F1F"/>
        </w:rPr>
        <w:footnoteReference w:id="22"/>
      </w:r>
      <w:r w:rsidRPr="00031DEE">
        <w:rPr>
          <w:color w:val="1F1F1F"/>
        </w:rPr>
        <w:t xml:space="preserve"> Having established this error, the Court determined that the original sentence must be quashed and the appellant must be re</w:t>
      </w:r>
      <w:r w:rsidR="00E1646F">
        <w:rPr>
          <w:color w:val="1F1F1F"/>
        </w:rPr>
        <w:t xml:space="preserve"> </w:t>
      </w:r>
      <w:r w:rsidRPr="00031DEE">
        <w:rPr>
          <w:color w:val="1F1F1F"/>
        </w:rPr>
        <w:t>sentenced, which rendered the remaining two grounds of appeal unnecessary to resolve.</w:t>
      </w:r>
      <w:r w:rsidRPr="00031DEE">
        <w:rPr>
          <w:rStyle w:val="FootnoteReference"/>
          <w:color w:val="1F1F1F"/>
        </w:rPr>
        <w:footnoteReference w:id="23"/>
      </w:r>
      <w:r w:rsidRPr="00031DEE">
        <w:rPr>
          <w:color w:val="1F1F1F"/>
        </w:rPr>
        <w:t xml:space="preserve"> The Court determined that the </w:t>
      </w:r>
      <w:r w:rsidRPr="00031DEE">
        <w:rPr>
          <w:color w:val="1F1F1F"/>
        </w:rPr>
        <w:lastRenderedPageBreak/>
        <w:t>appellant's moral culpability was greatly reduced and the time he had already spent in custody was sufficient punishment.</w:t>
      </w:r>
    </w:p>
    <w:p w14:paraId="219D8987"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The Court's ruling (order)</w:t>
      </w:r>
    </w:p>
    <w:p w14:paraId="33B1B2FF" w14:textId="73D31D4F" w:rsidR="00031DEE" w:rsidRPr="00031DEE" w:rsidRDefault="00031DEE" w:rsidP="00031DEE">
      <w:pPr>
        <w:pStyle w:val="NormalWeb"/>
        <w:spacing w:before="0" w:beforeAutospacing="0" w:after="240" w:afterAutospacing="0" w:line="360" w:lineRule="auto"/>
      </w:pPr>
      <w:r w:rsidRPr="00031DEE">
        <w:rPr>
          <w:color w:val="1F1F1F"/>
        </w:rPr>
        <w:t>The Court formally granted leave to appeal and allowed the appeal.</w:t>
      </w:r>
      <w:r w:rsidRPr="00031DEE">
        <w:rPr>
          <w:rStyle w:val="FootnoteReference"/>
          <w:color w:val="1F1F1F"/>
        </w:rPr>
        <w:footnoteReference w:id="24"/>
      </w:r>
      <w:r w:rsidRPr="00031DEE">
        <w:rPr>
          <w:color w:val="1F1F1F"/>
        </w:rPr>
        <w:t xml:space="preserve"> The Court ordered that the sentence of imprisonment imposed in the District Court on 7 November 2024 be set aside.</w:t>
      </w:r>
      <w:r w:rsidRPr="00031DEE">
        <w:rPr>
          <w:rStyle w:val="FootnoteReference"/>
          <w:color w:val="1F1F1F"/>
        </w:rPr>
        <w:footnoteReference w:id="25"/>
      </w:r>
      <w:r w:rsidRPr="00031DEE">
        <w:rPr>
          <w:color w:val="1F1F1F"/>
        </w:rPr>
        <w:t xml:space="preserve"> In lieu thereof, the Court re</w:t>
      </w:r>
      <w:r w:rsidR="00E1646F">
        <w:rPr>
          <w:color w:val="1F1F1F"/>
        </w:rPr>
        <w:t xml:space="preserve"> </w:t>
      </w:r>
      <w:r w:rsidRPr="00031DEE">
        <w:rPr>
          <w:color w:val="1F1F1F"/>
        </w:rPr>
        <w:t>sentenced the appellant to a term of imprisonment of 18 months, commencing on 18 December 2023 and expiring on 17 June 2025, with a non</w:t>
      </w:r>
      <w:r w:rsidR="00E1646F">
        <w:rPr>
          <w:color w:val="1F1F1F"/>
        </w:rPr>
        <w:t xml:space="preserve"> </w:t>
      </w:r>
      <w:r w:rsidRPr="00031DEE">
        <w:rPr>
          <w:color w:val="1F1F1F"/>
        </w:rPr>
        <w:t>parole period of 10 months imprisonment commencing on 18 December 2023 and expiring on</w:t>
      </w:r>
      <w:r w:rsidR="00E1646F">
        <w:rPr>
          <w:color w:val="1F1F1F"/>
        </w:rPr>
        <w:t xml:space="preserve"> </w:t>
      </w:r>
      <w:r w:rsidRPr="00031DEE">
        <w:rPr>
          <w:color w:val="1F1F1F"/>
        </w:rPr>
        <w:t>17 October 2024.</w:t>
      </w:r>
      <w:r w:rsidRPr="00031DEE">
        <w:rPr>
          <w:rStyle w:val="FootnoteReference"/>
          <w:color w:val="1F1F1F"/>
        </w:rPr>
        <w:footnoteReference w:id="26"/>
      </w:r>
    </w:p>
    <w:p w14:paraId="432CA7E5" w14:textId="77777777" w:rsidR="00031DEE" w:rsidRPr="00031DEE" w:rsidRDefault="00031DEE" w:rsidP="00031DEE">
      <w:pPr>
        <w:pStyle w:val="Heading3"/>
        <w:spacing w:before="0" w:after="120" w:line="360" w:lineRule="auto"/>
        <w:rPr>
          <w:rFonts w:ascii="Times New Roman" w:hAnsi="Times New Roman" w:cs="Times New Roman"/>
          <w:b/>
          <w:bCs/>
        </w:rPr>
      </w:pPr>
      <w:r w:rsidRPr="00031DEE">
        <w:rPr>
          <w:rFonts w:ascii="Times New Roman" w:hAnsi="Times New Roman" w:cs="Times New Roman"/>
          <w:b/>
          <w:bCs/>
          <w:color w:val="1F1F1F"/>
        </w:rPr>
        <w:t>Domestic Source</w:t>
      </w:r>
    </w:p>
    <w:p w14:paraId="02B13D64" w14:textId="4ED58BD2" w:rsidR="001E0587" w:rsidRPr="00031DEE" w:rsidRDefault="00031DEE" w:rsidP="00031DEE">
      <w:pPr>
        <w:pStyle w:val="NormalWeb"/>
        <w:spacing w:before="0" w:beforeAutospacing="0" w:after="240" w:afterAutospacing="0" w:line="360" w:lineRule="auto"/>
      </w:pPr>
      <w:r w:rsidRPr="00031DEE">
        <w:rPr>
          <w:color w:val="1F1F1F"/>
        </w:rPr>
        <w:t xml:space="preserve">The Court cited section 4 of the </w:t>
      </w:r>
      <w:r w:rsidRPr="00031DEE">
        <w:rPr>
          <w:i/>
          <w:iCs/>
          <w:color w:val="1F1F1F"/>
        </w:rPr>
        <w:t>Crimes Act 1900</w:t>
      </w:r>
      <w:r w:rsidRPr="00031DEE">
        <w:rPr>
          <w:color w:val="1F1F1F"/>
        </w:rPr>
        <w:t xml:space="preserve"> (NSW) when evaluating the precise legal nature of the weapon used during the robbery.</w:t>
      </w:r>
      <w:r w:rsidRPr="00031DEE">
        <w:rPr>
          <w:rStyle w:val="FootnoteReference"/>
          <w:color w:val="1F1F1F"/>
        </w:rPr>
        <w:footnoteReference w:id="27"/>
      </w:r>
      <w:r w:rsidRPr="00031DEE">
        <w:rPr>
          <w:color w:val="1F1F1F"/>
        </w:rPr>
        <w:t xml:space="preserve"> This statutory provision outlines the definition of an "offensive weapon or instrument", stipulating that it includes anything that is used, intended for use, or threatened to be used for offensive purposes, regardless of whether the object is ordinarily used for those purposes or is genuinely capable of causing physical harm.</w:t>
      </w:r>
      <w:r w:rsidRPr="00031DEE">
        <w:rPr>
          <w:rStyle w:val="FootnoteReference"/>
          <w:color w:val="1F1F1F"/>
        </w:rPr>
        <w:footnoteReference w:id="28"/>
      </w:r>
      <w:r w:rsidRPr="00031DEE">
        <w:rPr>
          <w:color w:val="1F1F1F"/>
        </w:rPr>
        <w:t xml:space="preserve"> The Court applied this legislative definition to determine that, by holding up the lighter and telling the store employee not to come near him, the appellant was legally using the lighter for an "offensive purpose" to satisfy the armed robbery charge, even though a lighter's actual capacity to inflict physical injury was profoundly lower than a traditional weapon.</w:t>
      </w:r>
      <w:r w:rsidRPr="00031DEE">
        <w:rPr>
          <w:rStyle w:val="FootnoteReference"/>
          <w:color w:val="1F1F1F"/>
        </w:rPr>
        <w:footnoteReference w:id="29"/>
      </w:r>
    </w:p>
    <w:sectPr w:rsidR="001E0587" w:rsidRPr="00031DEE">
      <w:pgSz w:w="11900" w:h="16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hayeer Emanee" w:date="2026-04-04T19:53:00Z" w:initials="SE">
    <w:p w14:paraId="4A2F7C2D" w14:textId="77777777" w:rsidR="002B5896" w:rsidRDefault="002B5896" w:rsidP="002B5896">
      <w:pPr>
        <w:pStyle w:val="NormalWeb"/>
      </w:pPr>
      <w:r>
        <w:rPr>
          <w:rStyle w:val="CommentReference"/>
        </w:rPr>
        <w:annotationRef/>
      </w:r>
      <w:r>
        <w:t>[2] COURT: This establishes the appellate jurisdiction hearing the matter.</w:t>
      </w:r>
    </w:p>
    <w:p w14:paraId="72C766AA" w14:textId="1ABBA563" w:rsidR="002B5896" w:rsidRDefault="002B5896">
      <w:pPr>
        <w:pStyle w:val="CommentText"/>
      </w:pPr>
    </w:p>
  </w:comment>
  <w:comment w:id="1" w:author="Shayeer Emanee" w:date="2026-04-04T19:43:00Z" w:initials="SE">
    <w:p w14:paraId="01FED344" w14:textId="77777777" w:rsidR="002B5896" w:rsidRDefault="002B5896" w:rsidP="002B5896">
      <w:pPr>
        <w:pStyle w:val="NormalWeb"/>
      </w:pPr>
      <w:r>
        <w:t>[1] CITATION(S): This identifies the medium neutral citation for the case, indicating the year, the specific court (NSWCCA), and the judgment number.</w:t>
      </w:r>
    </w:p>
    <w:p w14:paraId="3869A364" w14:textId="01957255" w:rsidR="002B5896" w:rsidRDefault="002B5896">
      <w:pPr>
        <w:pStyle w:val="CommentText"/>
      </w:pPr>
    </w:p>
  </w:comment>
  <w:comment w:id="2" w:author="Shayeer Emanee" w:date="2026-04-04T19:45:00Z" w:initials="SE">
    <w:p w14:paraId="772DA5F4" w14:textId="77777777" w:rsidR="002B5896" w:rsidRDefault="002B5896" w:rsidP="002B5896">
      <w:pPr>
        <w:pStyle w:val="NormalWeb"/>
      </w:pPr>
      <w:r>
        <w:t>[2] COURT: This identifies the specific panel of appellate judges presiding over the appeal.</w:t>
      </w:r>
    </w:p>
    <w:p w14:paraId="329A8C3A" w14:textId="22C1F6B1" w:rsidR="002B5896" w:rsidRDefault="002B5896">
      <w:pPr>
        <w:pStyle w:val="CommentText"/>
      </w:pPr>
    </w:p>
  </w:comment>
  <w:comment w:id="3" w:author="Shayeer Emanee" w:date="2026-04-04T20:12:00Z" w:initials="SE">
    <w:p w14:paraId="5A3A29D1" w14:textId="77777777" w:rsidR="002B5896" w:rsidRDefault="002B5896" w:rsidP="002B5896">
      <w:pPr>
        <w:pStyle w:val="NormalWeb"/>
      </w:pPr>
      <w:r>
        <w:rPr>
          <w:rStyle w:val="CommentReference"/>
        </w:rPr>
        <w:annotationRef/>
      </w:r>
      <w:r>
        <w:t>Order: These are the formal legal directives issued by the Court of Criminal Appeal to physically alter the appellant's sentence and give effect to their decision.</w:t>
      </w:r>
    </w:p>
    <w:p w14:paraId="4DDC75F3" w14:textId="04631B09" w:rsidR="002B5896" w:rsidRDefault="002B5896">
      <w:pPr>
        <w:pStyle w:val="CommentText"/>
      </w:pPr>
    </w:p>
  </w:comment>
  <w:comment w:id="4" w:author="Shayeer Emanee" w:date="2026-04-04T19:53:00Z" w:initials="SE">
    <w:p w14:paraId="016D3B2A" w14:textId="77777777" w:rsidR="002B5896" w:rsidRDefault="002B5896" w:rsidP="002B5896">
      <w:pPr>
        <w:pStyle w:val="NormalWeb"/>
      </w:pPr>
      <w:r>
        <w:rPr>
          <w:rStyle w:val="CommentReference"/>
        </w:rPr>
        <w:annotationRef/>
      </w:r>
      <w:r>
        <w:t>[3] PROCEDURAL HISTORY: This outlines the previous court proceeding, specifying the original sentencing judge and the court from which the appeal is brought.</w:t>
      </w:r>
    </w:p>
    <w:p w14:paraId="4522614F" w14:textId="568361E5" w:rsidR="002B5896" w:rsidRDefault="002B5896">
      <w:pPr>
        <w:pStyle w:val="CommentText"/>
      </w:pPr>
    </w:p>
  </w:comment>
  <w:comment w:id="5" w:author="Shayeer Emanee" w:date="2026-04-04T19:54:00Z" w:initials="SE">
    <w:p w14:paraId="166A1550" w14:textId="77777777" w:rsidR="002B5896" w:rsidRDefault="002B5896" w:rsidP="002B5896">
      <w:pPr>
        <w:pStyle w:val="NormalWeb"/>
      </w:pPr>
      <w:r>
        <w:rPr>
          <w:rStyle w:val="CommentReference"/>
        </w:rPr>
        <w:annotationRef/>
      </w:r>
      <w:r>
        <w:t>[3] PROCEDURAL HISTORY: This details the actual sentence handed down in the initial proceedings, which is the specific subject of the current appeal.</w:t>
      </w:r>
    </w:p>
    <w:p w14:paraId="224603B2" w14:textId="7EC052BC" w:rsidR="002B5896" w:rsidRDefault="002B5896">
      <w:pPr>
        <w:pStyle w:val="CommentText"/>
      </w:pPr>
    </w:p>
  </w:comment>
  <w:comment w:id="6" w:author="Shayeer Emanee" w:date="2026-04-04T20:03:00Z" w:initials="SE">
    <w:p w14:paraId="19ED91C9" w14:textId="77777777" w:rsidR="002B5896" w:rsidRDefault="002B5896" w:rsidP="002B5896">
      <w:pPr>
        <w:pStyle w:val="NormalWeb"/>
      </w:pPr>
      <w:r>
        <w:rPr>
          <w:rStyle w:val="CommentReference"/>
        </w:rPr>
        <w:annotationRef/>
      </w:r>
      <w:r>
        <w:t>Legal Issues: This identifies the primary legal question of the appeal: whether the trial judge misapplied a guideline judgment when assessing the gravity of the offence.</w:t>
      </w:r>
    </w:p>
    <w:p w14:paraId="6D30A356" w14:textId="49FE8989" w:rsidR="002B5896" w:rsidRDefault="002B5896">
      <w:pPr>
        <w:pStyle w:val="CommentText"/>
      </w:pPr>
    </w:p>
  </w:comment>
  <w:comment w:id="7" w:author="Shayeer Emanee" w:date="2026-04-04T20:03:00Z" w:initials="SE">
    <w:p w14:paraId="3BD2AD74" w14:textId="77777777" w:rsidR="002B5896" w:rsidRDefault="002B5896" w:rsidP="002B5896">
      <w:pPr>
        <w:pStyle w:val="NormalWeb"/>
      </w:pPr>
      <w:r>
        <w:rPr>
          <w:rStyle w:val="CommentReference"/>
        </w:rPr>
        <w:annotationRef/>
      </w:r>
      <w:r>
        <w:t>Legal Issues: This highlights a specific sub-issue regarding whether the sentencing judge incorrectly categorised the lighter as a weapon capable of causing serious injury.</w:t>
      </w:r>
    </w:p>
    <w:p w14:paraId="7312ADDC" w14:textId="1C55004D" w:rsidR="002B5896" w:rsidRDefault="002B5896">
      <w:pPr>
        <w:pStyle w:val="CommentText"/>
      </w:pPr>
    </w:p>
  </w:comment>
  <w:comment w:id="8" w:author="Shayeer Emanee" w:date="2026-04-04T19:57:00Z" w:initials="SE">
    <w:p w14:paraId="6BF26527" w14:textId="77777777" w:rsidR="002B5896" w:rsidRDefault="002B5896" w:rsidP="002B5896">
      <w:pPr>
        <w:pStyle w:val="NormalWeb"/>
      </w:pPr>
      <w:r>
        <w:rPr>
          <w:rStyle w:val="CommentReference"/>
        </w:rPr>
        <w:annotationRef/>
      </w:r>
      <w:r>
        <w:t>Relevant Facts: This establishes the initial actus reus of stealing the property, which triggered the subsequent confrontation.</w:t>
      </w:r>
    </w:p>
    <w:p w14:paraId="4DC695B4" w14:textId="4D1F74EA" w:rsidR="002B5896" w:rsidRDefault="002B5896">
      <w:pPr>
        <w:pStyle w:val="CommentText"/>
      </w:pPr>
    </w:p>
  </w:comment>
  <w:comment w:id="9" w:author="Shayeer Emanee" w:date="2026-04-04T19:57:00Z" w:initials="SE">
    <w:p w14:paraId="45E23029" w14:textId="77777777" w:rsidR="002B5896" w:rsidRDefault="002B5896" w:rsidP="002B5896">
      <w:pPr>
        <w:pStyle w:val="NormalWeb"/>
      </w:pPr>
      <w:r>
        <w:rPr>
          <w:rStyle w:val="CommentReference"/>
        </w:rPr>
        <w:annotationRef/>
      </w:r>
      <w:r>
        <w:t>Relevant Facts: This demonstrates the specific threat of violence and the presentation of an object, elevating the shoplifting to an armed robbery.</w:t>
      </w:r>
    </w:p>
    <w:p w14:paraId="4246EA07" w14:textId="115E63F2" w:rsidR="002B5896" w:rsidRDefault="002B5896">
      <w:pPr>
        <w:pStyle w:val="CommentText"/>
      </w:pPr>
    </w:p>
  </w:comment>
  <w:comment w:id="10" w:author="Shayeer Emanee" w:date="2026-04-04T19:59:00Z" w:initials="SE">
    <w:p w14:paraId="24D404C6" w14:textId="77777777" w:rsidR="002B5896" w:rsidRDefault="002B5896" w:rsidP="002B5896">
      <w:pPr>
        <w:pStyle w:val="NormalWeb"/>
      </w:pPr>
      <w:r>
        <w:rPr>
          <w:rStyle w:val="CommentReference"/>
        </w:rPr>
        <w:annotationRef/>
      </w:r>
      <w:r>
        <w:t>Relevant Facts: This clarifies the true nature of the weapon and the victim's perception, which is central to assessing the objective seriousness of the threat.</w:t>
      </w:r>
    </w:p>
    <w:p w14:paraId="4999411D" w14:textId="74C7F665" w:rsidR="002B5896" w:rsidRDefault="002B5896">
      <w:pPr>
        <w:pStyle w:val="CommentText"/>
      </w:pPr>
    </w:p>
  </w:comment>
  <w:comment w:id="11" w:author="Shayeer Emanee" w:date="2026-04-04T20:00:00Z" w:initials="SE">
    <w:p w14:paraId="5382A13C" w14:textId="77777777" w:rsidR="002B5896" w:rsidRDefault="002B5896" w:rsidP="002B5896">
      <w:pPr>
        <w:pStyle w:val="NormalWeb"/>
      </w:pPr>
      <w:r>
        <w:rPr>
          <w:rStyle w:val="CommentReference"/>
        </w:rPr>
        <w:annotationRef/>
      </w:r>
      <w:r>
        <w:t>Relevant Facts: This highlights the appellant's subjective mental health circumstances, which the court uses to mitigate his moral culpability.</w:t>
      </w:r>
    </w:p>
    <w:p w14:paraId="0FB7BC14" w14:textId="55704BDE" w:rsidR="002B5896" w:rsidRDefault="002B5896">
      <w:pPr>
        <w:pStyle w:val="CommentText"/>
      </w:pPr>
    </w:p>
  </w:comment>
  <w:comment w:id="12" w:author="Shayeer Emanee" w:date="2026-04-04T20:10:00Z" w:initials="SE">
    <w:p w14:paraId="2FE74D35" w14:textId="77777777" w:rsidR="002B5896" w:rsidRDefault="002B5896" w:rsidP="002B5896">
      <w:pPr>
        <w:pStyle w:val="NormalWeb"/>
      </w:pPr>
      <w:r>
        <w:rPr>
          <w:rStyle w:val="CommentReference"/>
        </w:rPr>
        <w:annotationRef/>
      </w:r>
      <w:r>
        <w:t>Decision: This indicates the court's formal conclusion on the primary ground of appeal, finding in favour of the appellant.</w:t>
      </w:r>
    </w:p>
    <w:p w14:paraId="7A95E88B" w14:textId="5789C07F" w:rsidR="002B5896" w:rsidRDefault="002B5896">
      <w:pPr>
        <w:pStyle w:val="CommentText"/>
      </w:pPr>
    </w:p>
  </w:comment>
  <w:comment w:id="13" w:author="Shayeer Emanee" w:date="2026-04-04T20:04:00Z" w:initials="SE">
    <w:p w14:paraId="014A95AF" w14:textId="77777777" w:rsidR="002B5896" w:rsidRDefault="002B5896" w:rsidP="002B5896">
      <w:pPr>
        <w:pStyle w:val="NormalWeb"/>
      </w:pPr>
      <w:r>
        <w:rPr>
          <w:rStyle w:val="CommentReference"/>
        </w:rPr>
        <w:annotationRef/>
      </w:r>
      <w:r>
        <w:t>Reasons: This explains the court's core rationale for upholding the appeal, pointing out the trial judge's factual error regarding the weapon's danger.</w:t>
      </w:r>
    </w:p>
    <w:p w14:paraId="6C268E54" w14:textId="255D0356" w:rsidR="002B5896" w:rsidRDefault="002B5896">
      <w:pPr>
        <w:pStyle w:val="CommentText"/>
      </w:pPr>
    </w:p>
  </w:comment>
  <w:comment w:id="14" w:author="Shayeer Emanee" w:date="2026-04-04T20:13:00Z" w:initials="SE">
    <w:p w14:paraId="33F84A59" w14:textId="77777777" w:rsidR="002B5896" w:rsidRDefault="002B5896" w:rsidP="002B5896">
      <w:pPr>
        <w:pStyle w:val="NormalWeb"/>
      </w:pPr>
      <w:r>
        <w:rPr>
          <w:rStyle w:val="CommentReference"/>
        </w:rPr>
        <w:annotationRef/>
      </w:r>
      <w:r>
        <w:t>Domestic Primary Source: The court uses this primary legislation to confirm that the lighter, by virtue of how the appellant threatened to use it, legally satisfied the statutory definition of an offensive weapon.</w:t>
      </w:r>
    </w:p>
    <w:p w14:paraId="17EF393E" w14:textId="5748FE8A" w:rsidR="002B5896" w:rsidRDefault="002B5896">
      <w:pPr>
        <w:pStyle w:val="CommentText"/>
      </w:pPr>
    </w:p>
  </w:comment>
  <w:comment w:id="15" w:author="Shayeer Emanee" w:date="2026-04-04T20:05:00Z" w:initials="SE">
    <w:p w14:paraId="1322E858" w14:textId="77777777" w:rsidR="002B5896" w:rsidRDefault="002B5896" w:rsidP="002B5896">
      <w:pPr>
        <w:pStyle w:val="NormalWeb"/>
      </w:pPr>
      <w:r>
        <w:rPr>
          <w:rStyle w:val="CommentReference"/>
        </w:rPr>
        <w:annotationRef/>
      </w:r>
      <w:r>
        <w:t>Reasons: This justifies exactly why the lighter does not fit the criteria of the guideline judgment, distinguishing the facts from established precedent.</w:t>
      </w:r>
    </w:p>
    <w:p w14:paraId="348A6E40" w14:textId="3D38327D" w:rsidR="002B5896" w:rsidRDefault="002B5896">
      <w:pPr>
        <w:pStyle w:val="CommentText"/>
      </w:pPr>
    </w:p>
  </w:comment>
  <w:comment w:id="16" w:author="Shayeer Emanee" w:date="2026-04-04T20:05:00Z" w:initials="SE">
    <w:p w14:paraId="363A25BF" w14:textId="77777777" w:rsidR="002B5896" w:rsidRDefault="002B5896" w:rsidP="002B5896">
      <w:pPr>
        <w:pStyle w:val="NormalWeb"/>
      </w:pPr>
      <w:r>
        <w:rPr>
          <w:rStyle w:val="CommentReference"/>
        </w:rPr>
        <w:annotationRef/>
      </w:r>
      <w:r>
        <w:t>Reasons: This concludes the court's logical chain on why the original sentencing judge was legally incorrect to use the Henry case as a direct comparator.</w:t>
      </w:r>
    </w:p>
    <w:p w14:paraId="241A9A76" w14:textId="6FC6D0F9" w:rsidR="002B5896" w:rsidRDefault="002B5896">
      <w:pPr>
        <w:pStyle w:val="CommentText"/>
      </w:pPr>
    </w:p>
  </w:comment>
  <w:comment w:id="17" w:author="Shayeer Emanee" w:date="2026-04-04T20:07:00Z" w:initials="SE">
    <w:p w14:paraId="7C11C589" w14:textId="77777777" w:rsidR="002B5896" w:rsidRDefault="002B5896" w:rsidP="002B5896">
      <w:pPr>
        <w:pStyle w:val="NormalWeb"/>
      </w:pPr>
      <w:r>
        <w:rPr>
          <w:rStyle w:val="CommentReference"/>
        </w:rPr>
        <w:annotationRef/>
      </w:r>
      <w:r>
        <w:t>Ratio: This establishes the binding legal rule that the Henry guideline is not universally applicable and must be restricted to cases with comparable objective features.</w:t>
      </w:r>
    </w:p>
    <w:p w14:paraId="79648DC7" w14:textId="50D40B2F" w:rsidR="002B5896" w:rsidRDefault="002B5896">
      <w:pPr>
        <w:pStyle w:val="CommentText"/>
      </w:pPr>
    </w:p>
  </w:comment>
  <w:comment w:id="18" w:author="Shayeer Emanee" w:date="2026-04-04T20:07:00Z" w:initials="SE">
    <w:p w14:paraId="329D2AEE" w14:textId="77777777" w:rsidR="002B5896" w:rsidRDefault="002B5896" w:rsidP="002B5896">
      <w:pPr>
        <w:pStyle w:val="NormalWeb"/>
      </w:pPr>
      <w:r>
        <w:rPr>
          <w:rStyle w:val="CommentReference"/>
        </w:rPr>
        <w:annotationRef/>
      </w:r>
      <w:r>
        <w:t>Ratio: This sets out the principle that failing to explicitly distinguish a markedly less serious offence from a severe guideline judgment constitutes a material error of law.</w:t>
      </w:r>
    </w:p>
    <w:p w14:paraId="1CF5D6B3" w14:textId="5284C2B4" w:rsidR="002B5896" w:rsidRDefault="002B5896">
      <w:pPr>
        <w:pStyle w:val="CommentText"/>
      </w:pPr>
    </w:p>
  </w:comment>
  <w:comment w:id="19" w:author="Shayeer Emanee" w:date="2026-04-04T20:09:00Z" w:initials="SE">
    <w:p w14:paraId="308215FC" w14:textId="77777777" w:rsidR="002B5896" w:rsidRDefault="002B5896" w:rsidP="002B5896">
      <w:pPr>
        <w:pStyle w:val="NormalWeb"/>
      </w:pPr>
      <w:r>
        <w:rPr>
          <w:rStyle w:val="CommentReference"/>
        </w:rPr>
        <w:annotationRef/>
      </w:r>
      <w:r>
        <w:t xml:space="preserve">Obiter: This is a passing remark by Rigg J clarifying what the court is </w:t>
      </w:r>
      <w:r>
        <w:rPr>
          <w:rStyle w:val="Emphasis"/>
        </w:rPr>
        <w:t>not</w:t>
      </w:r>
      <w:r>
        <w:t xml:space="preserve"> deciding regarding the general utility of guideline comparisons, which is not strictly necessary for resolving this specific appeal.</w:t>
      </w:r>
    </w:p>
    <w:p w14:paraId="2FCEE32F" w14:textId="099224C4" w:rsidR="002B5896" w:rsidRDefault="002B5896">
      <w:pPr>
        <w:pStyle w:val="CommentText"/>
      </w:pPr>
    </w:p>
  </w:comment>
  <w:comment w:id="20" w:author="Shayeer Emanee" w:date="2026-04-04T20:10:00Z" w:initials="SE">
    <w:p w14:paraId="647E3C46" w14:textId="77777777" w:rsidR="002B5896" w:rsidRDefault="002B5896" w:rsidP="002B5896">
      <w:pPr>
        <w:pStyle w:val="NormalWeb"/>
      </w:pPr>
      <w:r>
        <w:rPr>
          <w:rStyle w:val="CommentReference"/>
        </w:rPr>
        <w:annotationRef/>
      </w:r>
      <w:r>
        <w:t>Decision: This shows the immediate consequence of the court's finding, moving the court from an appellate review role into exercising original sentencing jurisdiction.</w:t>
      </w:r>
    </w:p>
    <w:p w14:paraId="6CC15263" w14:textId="59DB3015" w:rsidR="002B5896" w:rsidRDefault="002B5896">
      <w:pPr>
        <w:pStyle w:val="CommentText"/>
      </w:pPr>
    </w:p>
  </w:comment>
  <w:comment w:id="21" w:author="Shayeer Emanee" w:date="2026-04-04T20:09:00Z" w:initials="SE">
    <w:p w14:paraId="5BFDA251" w14:textId="77777777" w:rsidR="002B5896" w:rsidRDefault="002B5896" w:rsidP="002B5896">
      <w:pPr>
        <w:pStyle w:val="NormalWeb"/>
      </w:pPr>
      <w:r>
        <w:rPr>
          <w:rStyle w:val="CommentReference"/>
        </w:rPr>
        <w:annotationRef/>
      </w:r>
      <w:r>
        <w:t>Obiter: This is classic obiter dicta because the court had already upheld the appeal on ground 1, making a hypothetical ruling on ground 2 legally unnecessary for the final outcome.</w:t>
      </w:r>
    </w:p>
    <w:p w14:paraId="0BB35443" w14:textId="2C48E341" w:rsidR="002B5896" w:rsidRDefault="002B5896">
      <w:pPr>
        <w:pStyle w:val="CommentText"/>
      </w:pPr>
    </w:p>
  </w:comment>
  <w:comment w:id="22" w:author="Shayeer Emanee" w:date="2026-04-04T20:11:00Z" w:initials="SE">
    <w:p w14:paraId="3E3C1B13" w14:textId="77777777" w:rsidR="002B5896" w:rsidRDefault="002B5896" w:rsidP="002B5896">
      <w:pPr>
        <w:pStyle w:val="NormalWeb"/>
      </w:pPr>
      <w:r>
        <w:rPr>
          <w:rStyle w:val="CommentReference"/>
        </w:rPr>
        <w:annotationRef/>
      </w:r>
      <w:r>
        <w:t>Decision: This is the court's ultimate conclusion regarding the appropriate penal outcome after re-evaluating the facts and subjective features.</w:t>
      </w:r>
    </w:p>
    <w:p w14:paraId="1ECE6827" w14:textId="22E77EE6" w:rsidR="002B5896" w:rsidRDefault="002B5896">
      <w:pPr>
        <w:pStyle w:val="CommentText"/>
      </w:pPr>
    </w:p>
  </w:comment>
  <w:comment w:id="23" w:author="Shayeer Emanee" w:date="2026-04-04T20:06:00Z" w:initials="SE">
    <w:p w14:paraId="0D4BD7AB" w14:textId="77777777" w:rsidR="002B5896" w:rsidRDefault="002B5896" w:rsidP="002B5896">
      <w:pPr>
        <w:pStyle w:val="NormalWeb"/>
      </w:pPr>
      <w:r>
        <w:rPr>
          <w:rStyle w:val="CommentReference"/>
        </w:rPr>
        <w:annotationRef/>
      </w:r>
      <w:r>
        <w:t>Reasons: This provides the rationale for the significantly reduced 18-month sentence the Court imposes upon re-sentencing the appellant.</w:t>
      </w:r>
    </w:p>
    <w:p w14:paraId="1CECE56F" w14:textId="319D64DB" w:rsidR="002B5896" w:rsidRDefault="002B589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766AA" w15:done="0"/>
  <w15:commentEx w15:paraId="3869A364" w15:done="0"/>
  <w15:commentEx w15:paraId="329A8C3A" w15:done="0"/>
  <w15:commentEx w15:paraId="4DDC75F3" w15:done="0"/>
  <w15:commentEx w15:paraId="4522614F" w15:done="0"/>
  <w15:commentEx w15:paraId="224603B2" w15:done="0"/>
  <w15:commentEx w15:paraId="6D30A356" w15:done="0"/>
  <w15:commentEx w15:paraId="7312ADDC" w15:done="0"/>
  <w15:commentEx w15:paraId="4DC695B4" w15:done="0"/>
  <w15:commentEx w15:paraId="4246EA07" w15:done="0"/>
  <w15:commentEx w15:paraId="4999411D" w15:done="0"/>
  <w15:commentEx w15:paraId="0FB7BC14" w15:done="0"/>
  <w15:commentEx w15:paraId="7A95E88B" w15:done="0"/>
  <w15:commentEx w15:paraId="6C268E54" w15:done="0"/>
  <w15:commentEx w15:paraId="17EF393E" w15:done="0"/>
  <w15:commentEx w15:paraId="348A6E40" w15:done="0"/>
  <w15:commentEx w15:paraId="241A9A76" w15:done="0"/>
  <w15:commentEx w15:paraId="79648DC7" w15:done="0"/>
  <w15:commentEx w15:paraId="1CF5D6B3" w15:done="0"/>
  <w15:commentEx w15:paraId="2FCEE32F" w15:done="0"/>
  <w15:commentEx w15:paraId="6CC15263" w15:done="0"/>
  <w15:commentEx w15:paraId="0BB35443" w15:done="0"/>
  <w15:commentEx w15:paraId="1ECE6827" w15:done="0"/>
  <w15:commentEx w15:paraId="1CECE5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BEAAD" w16cex:dateUtc="2026-04-04T08:53:00Z"/>
  <w16cex:commentExtensible w16cex:durableId="2D7BE879" w16cex:dateUtc="2026-04-04T08:43:00Z"/>
  <w16cex:commentExtensible w16cex:durableId="2D7BE8ED" w16cex:dateUtc="2026-04-04T08:45:00Z"/>
  <w16cex:commentExtensible w16cex:durableId="2D7BEF3A" w16cex:dateUtc="2026-04-04T09:12:00Z"/>
  <w16cex:commentExtensible w16cex:durableId="2D7BEAD2" w16cex:dateUtc="2026-04-04T08:53:00Z"/>
  <w16cex:commentExtensible w16cex:durableId="2D7BEAEC" w16cex:dateUtc="2026-04-04T08:54:00Z"/>
  <w16cex:commentExtensible w16cex:durableId="2D7BED07" w16cex:dateUtc="2026-04-04T09:03:00Z"/>
  <w16cex:commentExtensible w16cex:durableId="2D7BED1E" w16cex:dateUtc="2026-04-04T09:03:00Z"/>
  <w16cex:commentExtensible w16cex:durableId="2D7BEB94" w16cex:dateUtc="2026-04-04T08:57:00Z"/>
  <w16cex:commentExtensible w16cex:durableId="2D7BEBC4" w16cex:dateUtc="2026-04-04T08:57:00Z"/>
  <w16cex:commentExtensible w16cex:durableId="2D7BEC27" w16cex:dateUtc="2026-04-04T08:59:00Z"/>
  <w16cex:commentExtensible w16cex:durableId="2D7BEC5C" w16cex:dateUtc="2026-04-04T09:00:00Z"/>
  <w16cex:commentExtensible w16cex:durableId="2D7BEEB7" w16cex:dateUtc="2026-04-04T09:10:00Z"/>
  <w16cex:commentExtensible w16cex:durableId="2D7BED44" w16cex:dateUtc="2026-04-04T09:04:00Z"/>
  <w16cex:commentExtensible w16cex:durableId="2D7BEF79" w16cex:dateUtc="2026-04-04T09:13:00Z"/>
  <w16cex:commentExtensible w16cex:durableId="2D7BED6D" w16cex:dateUtc="2026-04-04T09:05:00Z"/>
  <w16cex:commentExtensible w16cex:durableId="2D7BED84" w16cex:dateUtc="2026-04-04T09:05:00Z"/>
  <w16cex:commentExtensible w16cex:durableId="2D7BEDEA" w16cex:dateUtc="2026-04-04T09:07:00Z"/>
  <w16cex:commentExtensible w16cex:durableId="2D7BEE13" w16cex:dateUtc="2026-04-04T09:07:00Z"/>
  <w16cex:commentExtensible w16cex:durableId="2D7BEE68" w16cex:dateUtc="2026-04-04T09:09:00Z"/>
  <w16cex:commentExtensible w16cex:durableId="2D7BEECD" w16cex:dateUtc="2026-04-04T09:10:00Z"/>
  <w16cex:commentExtensible w16cex:durableId="2D7BEE85" w16cex:dateUtc="2026-04-04T09:09:00Z"/>
  <w16cex:commentExtensible w16cex:durableId="2D7BEEE7" w16cex:dateUtc="2026-04-04T09:11:00Z"/>
  <w16cex:commentExtensible w16cex:durableId="2D7BEDBA" w16cex:dateUtc="2026-04-04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766AA" w16cid:durableId="2D7BEAAD"/>
  <w16cid:commentId w16cid:paraId="3869A364" w16cid:durableId="2D7BE879"/>
  <w16cid:commentId w16cid:paraId="329A8C3A" w16cid:durableId="2D7BE8ED"/>
  <w16cid:commentId w16cid:paraId="4DDC75F3" w16cid:durableId="2D7BEF3A"/>
  <w16cid:commentId w16cid:paraId="4522614F" w16cid:durableId="2D7BEAD2"/>
  <w16cid:commentId w16cid:paraId="224603B2" w16cid:durableId="2D7BEAEC"/>
  <w16cid:commentId w16cid:paraId="6D30A356" w16cid:durableId="2D7BED07"/>
  <w16cid:commentId w16cid:paraId="7312ADDC" w16cid:durableId="2D7BED1E"/>
  <w16cid:commentId w16cid:paraId="4DC695B4" w16cid:durableId="2D7BEB94"/>
  <w16cid:commentId w16cid:paraId="4246EA07" w16cid:durableId="2D7BEBC4"/>
  <w16cid:commentId w16cid:paraId="4999411D" w16cid:durableId="2D7BEC27"/>
  <w16cid:commentId w16cid:paraId="0FB7BC14" w16cid:durableId="2D7BEC5C"/>
  <w16cid:commentId w16cid:paraId="7A95E88B" w16cid:durableId="2D7BEEB7"/>
  <w16cid:commentId w16cid:paraId="6C268E54" w16cid:durableId="2D7BED44"/>
  <w16cid:commentId w16cid:paraId="17EF393E" w16cid:durableId="2D7BEF79"/>
  <w16cid:commentId w16cid:paraId="348A6E40" w16cid:durableId="2D7BED6D"/>
  <w16cid:commentId w16cid:paraId="241A9A76" w16cid:durableId="2D7BED84"/>
  <w16cid:commentId w16cid:paraId="79648DC7" w16cid:durableId="2D7BEDEA"/>
  <w16cid:commentId w16cid:paraId="1CF5D6B3" w16cid:durableId="2D7BEE13"/>
  <w16cid:commentId w16cid:paraId="2FCEE32F" w16cid:durableId="2D7BEE68"/>
  <w16cid:commentId w16cid:paraId="6CC15263" w16cid:durableId="2D7BEECD"/>
  <w16cid:commentId w16cid:paraId="0BB35443" w16cid:durableId="2D7BEE85"/>
  <w16cid:commentId w16cid:paraId="1ECE6827" w16cid:durableId="2D7BEEE7"/>
  <w16cid:commentId w16cid:paraId="1CECE56F" w16cid:durableId="2D7BE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A9173" w14:textId="77777777" w:rsidR="00031DEE" w:rsidRDefault="00031DEE" w:rsidP="00031DEE">
      <w:pPr>
        <w:spacing w:after="0" w:line="240" w:lineRule="auto"/>
      </w:pPr>
      <w:r>
        <w:separator/>
      </w:r>
    </w:p>
  </w:endnote>
  <w:endnote w:type="continuationSeparator" w:id="0">
    <w:p w14:paraId="4A8F99BC" w14:textId="77777777" w:rsidR="00031DEE" w:rsidRDefault="00031DEE" w:rsidP="0003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37036" w14:textId="77777777" w:rsidR="00031DEE" w:rsidRDefault="00031DEE" w:rsidP="00031DEE">
      <w:pPr>
        <w:spacing w:after="0" w:line="240" w:lineRule="auto"/>
      </w:pPr>
      <w:r>
        <w:separator/>
      </w:r>
    </w:p>
  </w:footnote>
  <w:footnote w:type="continuationSeparator" w:id="0">
    <w:p w14:paraId="331A284A" w14:textId="77777777" w:rsidR="00031DEE" w:rsidRDefault="00031DEE" w:rsidP="00031DEE">
      <w:pPr>
        <w:spacing w:after="0" w:line="240" w:lineRule="auto"/>
      </w:pPr>
      <w:r>
        <w:continuationSeparator/>
      </w:r>
    </w:p>
  </w:footnote>
  <w:footnote w:id="1">
    <w:p w14:paraId="02E3CE42" w14:textId="574B417B" w:rsidR="00031DEE" w:rsidRPr="00031DEE" w:rsidRDefault="00031DEE" w:rsidP="00031DEE">
      <w:pPr>
        <w:pStyle w:val="NormalWeb"/>
        <w:spacing w:before="0" w:beforeAutospacing="0" w:after="240" w:afterAutospacing="0"/>
        <w:rPr>
          <w:sz w:val="20"/>
          <w:szCs w:val="20"/>
        </w:rPr>
      </w:pPr>
      <w:r w:rsidRPr="00031DEE">
        <w:rPr>
          <w:rStyle w:val="FootnoteReference"/>
        </w:rPr>
        <w:footnoteRef/>
      </w:r>
      <w:r w:rsidRPr="00031DEE">
        <w:t xml:space="preserve"> </w:t>
      </w:r>
      <w:r w:rsidRPr="00031DEE">
        <w:rPr>
          <w:i/>
          <w:iCs/>
          <w:color w:val="1F1F1F"/>
          <w:sz w:val="20"/>
          <w:szCs w:val="20"/>
        </w:rPr>
        <w:t>Luchetti v R</w:t>
      </w:r>
      <w:r w:rsidRPr="00031DEE">
        <w:rPr>
          <w:color w:val="1F1F1F"/>
          <w:sz w:val="20"/>
          <w:szCs w:val="20"/>
        </w:rPr>
        <w:t xml:space="preserve"> [2025] NSWCCA 222 ('</w:t>
      </w:r>
      <w:r w:rsidRPr="00031DEE">
        <w:rPr>
          <w:i/>
          <w:iCs/>
          <w:color w:val="1F1F1F"/>
          <w:sz w:val="20"/>
          <w:szCs w:val="20"/>
        </w:rPr>
        <w:t>Luchetti</w:t>
      </w:r>
      <w:r w:rsidRPr="00031DEE">
        <w:rPr>
          <w:color w:val="1F1F1F"/>
          <w:sz w:val="20"/>
          <w:szCs w:val="20"/>
        </w:rPr>
        <w:t>')</w:t>
      </w:r>
    </w:p>
  </w:footnote>
  <w:footnote w:id="2">
    <w:p w14:paraId="4C16F047" w14:textId="6FEFA2F3"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i/>
          <w:iCs/>
          <w:color w:val="1F1F1F"/>
        </w:rPr>
        <w:t>Luchetti</w:t>
      </w:r>
      <w:r w:rsidRPr="00031DEE">
        <w:rPr>
          <w:rFonts w:ascii="Times New Roman" w:hAnsi="Times New Roman" w:cs="Times New Roman"/>
          <w:color w:val="1F1F1F"/>
        </w:rPr>
        <w:t xml:space="preserve"> (n 1) [6]</w:t>
      </w:r>
    </w:p>
  </w:footnote>
  <w:footnote w:id="3">
    <w:p w14:paraId="5817D7A8" w14:textId="5006C5AD"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[5]</w:t>
      </w:r>
    </w:p>
  </w:footnote>
  <w:footnote w:id="4">
    <w:p w14:paraId="277DDE9C" w14:textId="6225D7A1"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[8]</w:t>
      </w:r>
    </w:p>
  </w:footnote>
  <w:footnote w:id="5">
    <w:p w14:paraId="50629D6D" w14:textId="44A36F1A" w:rsidR="00031DEE" w:rsidRPr="00031DEE" w:rsidRDefault="00031DEE" w:rsidP="00031DEE">
      <w:pPr>
        <w:pStyle w:val="NormalWeb"/>
        <w:spacing w:before="0" w:beforeAutospacing="0" w:after="240" w:afterAutospacing="0"/>
        <w:rPr>
          <w:sz w:val="20"/>
          <w:szCs w:val="20"/>
        </w:rPr>
      </w:pPr>
      <w:r w:rsidRPr="00031DEE">
        <w:rPr>
          <w:rStyle w:val="FootnoteReference"/>
          <w:sz w:val="20"/>
          <w:szCs w:val="20"/>
        </w:rPr>
        <w:footnoteRef/>
      </w:r>
      <w:r w:rsidRPr="00031DEE">
        <w:rPr>
          <w:sz w:val="20"/>
          <w:szCs w:val="20"/>
        </w:rPr>
        <w:t xml:space="preserve"> </w:t>
      </w:r>
      <w:r w:rsidRPr="00031DEE">
        <w:rPr>
          <w:color w:val="1F1F1F"/>
          <w:sz w:val="20"/>
          <w:szCs w:val="20"/>
        </w:rPr>
        <w:t>Ibid</w:t>
      </w:r>
    </w:p>
  </w:footnote>
  <w:footnote w:id="6">
    <w:p w14:paraId="5F2E284F" w14:textId="3F4E34B2"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w:t>
      </w:r>
    </w:p>
  </w:footnote>
  <w:footnote w:id="7">
    <w:p w14:paraId="5D351677" w14:textId="0DDDBFB5"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[9]</w:t>
      </w:r>
    </w:p>
  </w:footnote>
  <w:footnote w:id="8">
    <w:p w14:paraId="2B6B732A" w14:textId="6A7573C0"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w:t>
      </w:r>
    </w:p>
  </w:footnote>
  <w:footnote w:id="9">
    <w:p w14:paraId="6E6BC8B1" w14:textId="26302177"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[10]</w:t>
      </w:r>
    </w:p>
  </w:footnote>
  <w:footnote w:id="10">
    <w:p w14:paraId="54E0FB75" w14:textId="7D828069" w:rsidR="00031DEE" w:rsidRPr="00031DEE" w:rsidRDefault="00031DEE">
      <w:pPr>
        <w:pStyle w:val="FootnoteText"/>
        <w:rPr>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[14], [18]</w:t>
      </w:r>
    </w:p>
  </w:footnote>
  <w:footnote w:id="11">
    <w:p w14:paraId="002D9AFB" w14:textId="2E46C0DB"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[7]</w:t>
      </w:r>
    </w:p>
  </w:footnote>
  <w:footnote w:id="12">
    <w:p w14:paraId="6AE7A4BC" w14:textId="0008DC69"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w:t>
      </w:r>
    </w:p>
  </w:footnote>
  <w:footnote w:id="13">
    <w:p w14:paraId="5CC9818B" w14:textId="16225DFD"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w:t>
      </w:r>
    </w:p>
  </w:footnote>
  <w:footnote w:id="14">
    <w:p w14:paraId="5F74BD4F" w14:textId="1F9B8D91"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[46], [58]</w:t>
      </w:r>
    </w:p>
  </w:footnote>
  <w:footnote w:id="15">
    <w:p w14:paraId="3B7A1C79" w14:textId="3B964190"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[46], [50]</w:t>
      </w:r>
    </w:p>
  </w:footnote>
  <w:footnote w:id="16">
    <w:p w14:paraId="1BAB75D4" w14:textId="3AE55D69"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[51]</w:t>
      </w:r>
    </w:p>
  </w:footnote>
  <w:footnote w:id="17">
    <w:p w14:paraId="445C20E6" w14:textId="3FF71F12"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[54]–[56]</w:t>
      </w:r>
    </w:p>
  </w:footnote>
  <w:footnote w:id="18">
    <w:p w14:paraId="32F9AE32" w14:textId="71970DE7" w:rsidR="00031DEE" w:rsidRPr="00031DEE" w:rsidRDefault="00031DEE">
      <w:pPr>
        <w:pStyle w:val="FootnoteText"/>
        <w:rPr>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[58]</w:t>
      </w:r>
    </w:p>
  </w:footnote>
  <w:footnote w:id="19">
    <w:p w14:paraId="12FD20E1" w14:textId="151EDD09" w:rsidR="00031DEE" w:rsidRPr="00031DEE" w:rsidRDefault="00031DEE">
      <w:pPr>
        <w:pStyle w:val="FootnoteText"/>
        <w:rPr>
          <w:rFonts w:ascii="Times New Roman" w:hAnsi="Times New Roman" w:cs="Times New Roman"/>
          <w:lang w:val="en-US"/>
        </w:rPr>
      </w:pPr>
      <w:r>
        <w:rPr>
          <w:rStyle w:val="FootnoteReference"/>
        </w:rPr>
        <w:footnoteRef/>
      </w:r>
      <w:r>
        <w:t xml:space="preserve"> </w:t>
      </w:r>
      <w:r w:rsidRPr="00031DEE">
        <w:rPr>
          <w:rFonts w:ascii="Times New Roman" w:hAnsi="Times New Roman" w:cs="Times New Roman"/>
          <w:color w:val="1F1F1F"/>
        </w:rPr>
        <w:t>Ibid [56], [58]</w:t>
      </w:r>
    </w:p>
  </w:footnote>
  <w:footnote w:id="20">
    <w:p w14:paraId="15AFB9C3" w14:textId="535B705E" w:rsidR="00031DEE" w:rsidRPr="00031DEE" w:rsidRDefault="00031DEE">
      <w:pPr>
        <w:pStyle w:val="FootnoteText"/>
        <w:rPr>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[63]</w:t>
      </w:r>
    </w:p>
  </w:footnote>
  <w:footnote w:id="21">
    <w:p w14:paraId="40815B6D" w14:textId="124EEDE0" w:rsidR="00031DEE" w:rsidRPr="00031DEE" w:rsidRDefault="00031DEE">
      <w:pPr>
        <w:pStyle w:val="FootnoteText"/>
        <w:rPr>
          <w:rFonts w:ascii="Times New Roman" w:hAnsi="Times New Roman" w:cs="Times New Roman"/>
          <w:lang w:val="en-US"/>
        </w:rPr>
      </w:pPr>
      <w:r>
        <w:rPr>
          <w:rStyle w:val="FootnoteReference"/>
        </w:rPr>
        <w:footnoteRef/>
      </w:r>
      <w:r>
        <w:t xml:space="preserve"> </w:t>
      </w:r>
      <w:r w:rsidRPr="00031DEE">
        <w:rPr>
          <w:rFonts w:ascii="Times New Roman" w:hAnsi="Times New Roman" w:cs="Times New Roman"/>
          <w:color w:val="1F1F1F"/>
        </w:rPr>
        <w:t>Ibid [64]</w:t>
      </w:r>
    </w:p>
  </w:footnote>
  <w:footnote w:id="22">
    <w:p w14:paraId="5EED3FF4" w14:textId="5FC434E0"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[46]</w:t>
      </w:r>
    </w:p>
  </w:footnote>
  <w:footnote w:id="23">
    <w:p w14:paraId="09473DD1" w14:textId="15EEB42D"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[62]–[63]</w:t>
      </w:r>
    </w:p>
  </w:footnote>
  <w:footnote w:id="24">
    <w:p w14:paraId="16CC158B" w14:textId="4F509D2C"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[3]</w:t>
      </w:r>
    </w:p>
  </w:footnote>
  <w:footnote w:id="25">
    <w:p w14:paraId="61E3A575" w14:textId="1AABD5AF"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w:t>
      </w:r>
    </w:p>
  </w:footnote>
  <w:footnote w:id="26">
    <w:p w14:paraId="0FBE8F3E" w14:textId="7AE59A95"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w:t>
      </w:r>
    </w:p>
  </w:footnote>
  <w:footnote w:id="27">
    <w:p w14:paraId="1B5812E1" w14:textId="2D166C33"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color w:val="1F1F1F"/>
        </w:rPr>
        <w:t>Ibid [49]</w:t>
      </w:r>
    </w:p>
  </w:footnote>
  <w:footnote w:id="28">
    <w:p w14:paraId="63FEF635" w14:textId="60532AEC" w:rsidR="00031DEE" w:rsidRPr="00031DEE" w:rsidRDefault="00031DEE">
      <w:pPr>
        <w:pStyle w:val="FootnoteText"/>
        <w:rPr>
          <w:rFonts w:ascii="Times New Roman" w:hAnsi="Times New Roman" w:cs="Times New Roman"/>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i/>
          <w:iCs/>
          <w:color w:val="1F1F1F"/>
        </w:rPr>
        <w:t>Crimes Act 1900</w:t>
      </w:r>
      <w:r w:rsidRPr="00031DEE">
        <w:rPr>
          <w:rFonts w:ascii="Times New Roman" w:hAnsi="Times New Roman" w:cs="Times New Roman"/>
          <w:color w:val="1F1F1F"/>
        </w:rPr>
        <w:t xml:space="preserve"> (NSW) s 4</w:t>
      </w:r>
    </w:p>
  </w:footnote>
  <w:footnote w:id="29">
    <w:p w14:paraId="7161CDE7" w14:textId="4211408A" w:rsidR="00031DEE" w:rsidRPr="00031DEE" w:rsidRDefault="00031DEE">
      <w:pPr>
        <w:pStyle w:val="FootnoteText"/>
        <w:rPr>
          <w:lang w:val="en-US"/>
        </w:rPr>
      </w:pPr>
      <w:r w:rsidRPr="00031DEE">
        <w:rPr>
          <w:rStyle w:val="FootnoteReference"/>
          <w:rFonts w:ascii="Times New Roman" w:hAnsi="Times New Roman" w:cs="Times New Roman"/>
        </w:rPr>
        <w:footnoteRef/>
      </w:r>
      <w:r w:rsidRPr="00031DEE">
        <w:rPr>
          <w:rFonts w:ascii="Times New Roman" w:hAnsi="Times New Roman" w:cs="Times New Roman"/>
        </w:rPr>
        <w:t xml:space="preserve"> </w:t>
      </w:r>
      <w:r w:rsidRPr="00031DEE">
        <w:rPr>
          <w:rFonts w:ascii="Times New Roman" w:hAnsi="Times New Roman" w:cs="Times New Roman"/>
          <w:i/>
          <w:iCs/>
          <w:color w:val="1F1F1F"/>
        </w:rPr>
        <w:t>Luchetti</w:t>
      </w:r>
      <w:r w:rsidRPr="00031DEE">
        <w:rPr>
          <w:rFonts w:ascii="Times New Roman" w:hAnsi="Times New Roman" w:cs="Times New Roman"/>
          <w:color w:val="1F1F1F"/>
        </w:rPr>
        <w:t xml:space="preserve"> (n 1) [50]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CEC3EFC"/>
    <w:multiLevelType w:val="hybridMultilevel"/>
    <w:tmpl w:val="1012C5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yeer Emanee">
    <w15:presenceInfo w15:providerId="None" w15:userId="Shayeer Eman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ADE"/>
    <w:rsid w:val="00031DEE"/>
    <w:rsid w:val="001E0587"/>
    <w:rsid w:val="002B5896"/>
    <w:rsid w:val="00541ADE"/>
    <w:rsid w:val="005F5B25"/>
    <w:rsid w:val="006C7785"/>
    <w:rsid w:val="007D431A"/>
    <w:rsid w:val="008153A8"/>
    <w:rsid w:val="0086229A"/>
    <w:rsid w:val="009B78A6"/>
    <w:rsid w:val="00A4684F"/>
    <w:rsid w:val="00BF5CBA"/>
    <w:rsid w:val="00D74124"/>
    <w:rsid w:val="00E118EC"/>
    <w:rsid w:val="00E1646F"/>
    <w:rsid w:val="00E6662B"/>
    <w:rsid w:val="00FA49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DDF5DD"/>
  <w14:defaultImageDpi w14:val="0"/>
  <w15:docId w15:val="{4FD870D9-DCD5-3D4F-A4D7-1E5205B4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D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118E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31DE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18EC"/>
    <w:rPr>
      <w:rFonts w:asciiTheme="majorHAnsi" w:eastAsiaTheme="majorEastAsia" w:hAnsiTheme="majorHAnsi" w:cstheme="majorBidi"/>
      <w:color w:val="0F4761" w:themeColor="accent1" w:themeShade="BF"/>
      <w:sz w:val="26"/>
      <w:szCs w:val="26"/>
    </w:rPr>
  </w:style>
  <w:style w:type="character" w:styleId="CommentReference">
    <w:name w:val="annotation reference"/>
    <w:basedOn w:val="DefaultParagraphFont"/>
    <w:uiPriority w:val="99"/>
    <w:semiHidden/>
    <w:unhideWhenUsed/>
    <w:rsid w:val="002B5896"/>
    <w:rPr>
      <w:sz w:val="16"/>
      <w:szCs w:val="16"/>
    </w:rPr>
  </w:style>
  <w:style w:type="paragraph" w:styleId="CommentText">
    <w:name w:val="annotation text"/>
    <w:basedOn w:val="Normal"/>
    <w:link w:val="CommentTextChar"/>
    <w:uiPriority w:val="99"/>
    <w:semiHidden/>
    <w:unhideWhenUsed/>
    <w:rsid w:val="002B5896"/>
    <w:pPr>
      <w:spacing w:line="240" w:lineRule="auto"/>
    </w:pPr>
    <w:rPr>
      <w:sz w:val="20"/>
      <w:szCs w:val="20"/>
    </w:rPr>
  </w:style>
  <w:style w:type="character" w:customStyle="1" w:styleId="CommentTextChar">
    <w:name w:val="Comment Text Char"/>
    <w:basedOn w:val="DefaultParagraphFont"/>
    <w:link w:val="CommentText"/>
    <w:uiPriority w:val="99"/>
    <w:semiHidden/>
    <w:rsid w:val="002B5896"/>
    <w:rPr>
      <w:sz w:val="20"/>
      <w:szCs w:val="20"/>
    </w:rPr>
  </w:style>
  <w:style w:type="paragraph" w:styleId="CommentSubject">
    <w:name w:val="annotation subject"/>
    <w:basedOn w:val="CommentText"/>
    <w:next w:val="CommentText"/>
    <w:link w:val="CommentSubjectChar"/>
    <w:uiPriority w:val="99"/>
    <w:semiHidden/>
    <w:unhideWhenUsed/>
    <w:rsid w:val="002B5896"/>
    <w:rPr>
      <w:b/>
      <w:bCs/>
    </w:rPr>
  </w:style>
  <w:style w:type="character" w:customStyle="1" w:styleId="CommentSubjectChar">
    <w:name w:val="Comment Subject Char"/>
    <w:basedOn w:val="CommentTextChar"/>
    <w:link w:val="CommentSubject"/>
    <w:uiPriority w:val="99"/>
    <w:semiHidden/>
    <w:rsid w:val="002B5896"/>
    <w:rPr>
      <w:b/>
      <w:bCs/>
      <w:sz w:val="20"/>
      <w:szCs w:val="20"/>
    </w:rPr>
  </w:style>
  <w:style w:type="paragraph" w:styleId="NormalWeb">
    <w:name w:val="Normal (Web)"/>
    <w:basedOn w:val="Normal"/>
    <w:uiPriority w:val="99"/>
    <w:unhideWhenUsed/>
    <w:rsid w:val="002B5896"/>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2B5896"/>
    <w:rPr>
      <w:i/>
      <w:iCs/>
    </w:rPr>
  </w:style>
  <w:style w:type="character" w:customStyle="1" w:styleId="Heading1Char">
    <w:name w:val="Heading 1 Char"/>
    <w:basedOn w:val="DefaultParagraphFont"/>
    <w:link w:val="Heading1"/>
    <w:uiPriority w:val="9"/>
    <w:rsid w:val="00031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DEE"/>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03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DEE"/>
  </w:style>
  <w:style w:type="paragraph" w:styleId="Footer">
    <w:name w:val="footer"/>
    <w:basedOn w:val="Normal"/>
    <w:link w:val="FooterChar"/>
    <w:uiPriority w:val="99"/>
    <w:unhideWhenUsed/>
    <w:rsid w:val="0003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DEE"/>
  </w:style>
  <w:style w:type="paragraph" w:styleId="FootnoteText">
    <w:name w:val="footnote text"/>
    <w:basedOn w:val="Normal"/>
    <w:link w:val="FootnoteTextChar"/>
    <w:uiPriority w:val="99"/>
    <w:semiHidden/>
    <w:unhideWhenUsed/>
    <w:rsid w:val="00031D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1DEE"/>
    <w:rPr>
      <w:sz w:val="20"/>
      <w:szCs w:val="20"/>
    </w:rPr>
  </w:style>
  <w:style w:type="character" w:styleId="FootnoteReference">
    <w:name w:val="footnote reference"/>
    <w:basedOn w:val="DefaultParagraphFont"/>
    <w:uiPriority w:val="99"/>
    <w:semiHidden/>
    <w:unhideWhenUsed/>
    <w:rsid w:val="00031D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5600">
      <w:bodyDiv w:val="1"/>
      <w:marLeft w:val="0"/>
      <w:marRight w:val="0"/>
      <w:marTop w:val="0"/>
      <w:marBottom w:val="0"/>
      <w:divBdr>
        <w:top w:val="none" w:sz="0" w:space="0" w:color="auto"/>
        <w:left w:val="none" w:sz="0" w:space="0" w:color="auto"/>
        <w:bottom w:val="none" w:sz="0" w:space="0" w:color="auto"/>
        <w:right w:val="none" w:sz="0" w:space="0" w:color="auto"/>
      </w:divBdr>
    </w:div>
    <w:div w:id="161747934">
      <w:bodyDiv w:val="1"/>
      <w:marLeft w:val="0"/>
      <w:marRight w:val="0"/>
      <w:marTop w:val="0"/>
      <w:marBottom w:val="0"/>
      <w:divBdr>
        <w:top w:val="none" w:sz="0" w:space="0" w:color="auto"/>
        <w:left w:val="none" w:sz="0" w:space="0" w:color="auto"/>
        <w:bottom w:val="none" w:sz="0" w:space="0" w:color="auto"/>
        <w:right w:val="none" w:sz="0" w:space="0" w:color="auto"/>
      </w:divBdr>
    </w:div>
    <w:div w:id="167839344">
      <w:bodyDiv w:val="1"/>
      <w:marLeft w:val="0"/>
      <w:marRight w:val="0"/>
      <w:marTop w:val="0"/>
      <w:marBottom w:val="0"/>
      <w:divBdr>
        <w:top w:val="none" w:sz="0" w:space="0" w:color="auto"/>
        <w:left w:val="none" w:sz="0" w:space="0" w:color="auto"/>
        <w:bottom w:val="none" w:sz="0" w:space="0" w:color="auto"/>
        <w:right w:val="none" w:sz="0" w:space="0" w:color="auto"/>
      </w:divBdr>
    </w:div>
    <w:div w:id="171185740">
      <w:bodyDiv w:val="1"/>
      <w:marLeft w:val="0"/>
      <w:marRight w:val="0"/>
      <w:marTop w:val="0"/>
      <w:marBottom w:val="0"/>
      <w:divBdr>
        <w:top w:val="none" w:sz="0" w:space="0" w:color="auto"/>
        <w:left w:val="none" w:sz="0" w:space="0" w:color="auto"/>
        <w:bottom w:val="none" w:sz="0" w:space="0" w:color="auto"/>
        <w:right w:val="none" w:sz="0" w:space="0" w:color="auto"/>
      </w:divBdr>
    </w:div>
    <w:div w:id="176703004">
      <w:bodyDiv w:val="1"/>
      <w:marLeft w:val="0"/>
      <w:marRight w:val="0"/>
      <w:marTop w:val="0"/>
      <w:marBottom w:val="0"/>
      <w:divBdr>
        <w:top w:val="none" w:sz="0" w:space="0" w:color="auto"/>
        <w:left w:val="none" w:sz="0" w:space="0" w:color="auto"/>
        <w:bottom w:val="none" w:sz="0" w:space="0" w:color="auto"/>
        <w:right w:val="none" w:sz="0" w:space="0" w:color="auto"/>
      </w:divBdr>
    </w:div>
    <w:div w:id="200361935">
      <w:bodyDiv w:val="1"/>
      <w:marLeft w:val="0"/>
      <w:marRight w:val="0"/>
      <w:marTop w:val="0"/>
      <w:marBottom w:val="0"/>
      <w:divBdr>
        <w:top w:val="none" w:sz="0" w:space="0" w:color="auto"/>
        <w:left w:val="none" w:sz="0" w:space="0" w:color="auto"/>
        <w:bottom w:val="none" w:sz="0" w:space="0" w:color="auto"/>
        <w:right w:val="none" w:sz="0" w:space="0" w:color="auto"/>
      </w:divBdr>
    </w:div>
    <w:div w:id="244190526">
      <w:bodyDiv w:val="1"/>
      <w:marLeft w:val="0"/>
      <w:marRight w:val="0"/>
      <w:marTop w:val="0"/>
      <w:marBottom w:val="0"/>
      <w:divBdr>
        <w:top w:val="none" w:sz="0" w:space="0" w:color="auto"/>
        <w:left w:val="none" w:sz="0" w:space="0" w:color="auto"/>
        <w:bottom w:val="none" w:sz="0" w:space="0" w:color="auto"/>
        <w:right w:val="none" w:sz="0" w:space="0" w:color="auto"/>
      </w:divBdr>
    </w:div>
    <w:div w:id="256255786">
      <w:bodyDiv w:val="1"/>
      <w:marLeft w:val="0"/>
      <w:marRight w:val="0"/>
      <w:marTop w:val="0"/>
      <w:marBottom w:val="0"/>
      <w:divBdr>
        <w:top w:val="none" w:sz="0" w:space="0" w:color="auto"/>
        <w:left w:val="none" w:sz="0" w:space="0" w:color="auto"/>
        <w:bottom w:val="none" w:sz="0" w:space="0" w:color="auto"/>
        <w:right w:val="none" w:sz="0" w:space="0" w:color="auto"/>
      </w:divBdr>
    </w:div>
    <w:div w:id="268240137">
      <w:bodyDiv w:val="1"/>
      <w:marLeft w:val="0"/>
      <w:marRight w:val="0"/>
      <w:marTop w:val="0"/>
      <w:marBottom w:val="0"/>
      <w:divBdr>
        <w:top w:val="none" w:sz="0" w:space="0" w:color="auto"/>
        <w:left w:val="none" w:sz="0" w:space="0" w:color="auto"/>
        <w:bottom w:val="none" w:sz="0" w:space="0" w:color="auto"/>
        <w:right w:val="none" w:sz="0" w:space="0" w:color="auto"/>
      </w:divBdr>
    </w:div>
    <w:div w:id="278952830">
      <w:bodyDiv w:val="1"/>
      <w:marLeft w:val="0"/>
      <w:marRight w:val="0"/>
      <w:marTop w:val="0"/>
      <w:marBottom w:val="0"/>
      <w:divBdr>
        <w:top w:val="none" w:sz="0" w:space="0" w:color="auto"/>
        <w:left w:val="none" w:sz="0" w:space="0" w:color="auto"/>
        <w:bottom w:val="none" w:sz="0" w:space="0" w:color="auto"/>
        <w:right w:val="none" w:sz="0" w:space="0" w:color="auto"/>
      </w:divBdr>
    </w:div>
    <w:div w:id="319577698">
      <w:bodyDiv w:val="1"/>
      <w:marLeft w:val="0"/>
      <w:marRight w:val="0"/>
      <w:marTop w:val="0"/>
      <w:marBottom w:val="0"/>
      <w:divBdr>
        <w:top w:val="none" w:sz="0" w:space="0" w:color="auto"/>
        <w:left w:val="none" w:sz="0" w:space="0" w:color="auto"/>
        <w:bottom w:val="none" w:sz="0" w:space="0" w:color="auto"/>
        <w:right w:val="none" w:sz="0" w:space="0" w:color="auto"/>
      </w:divBdr>
    </w:div>
    <w:div w:id="377513247">
      <w:bodyDiv w:val="1"/>
      <w:marLeft w:val="0"/>
      <w:marRight w:val="0"/>
      <w:marTop w:val="0"/>
      <w:marBottom w:val="0"/>
      <w:divBdr>
        <w:top w:val="none" w:sz="0" w:space="0" w:color="auto"/>
        <w:left w:val="none" w:sz="0" w:space="0" w:color="auto"/>
        <w:bottom w:val="none" w:sz="0" w:space="0" w:color="auto"/>
        <w:right w:val="none" w:sz="0" w:space="0" w:color="auto"/>
      </w:divBdr>
    </w:div>
    <w:div w:id="441340277">
      <w:bodyDiv w:val="1"/>
      <w:marLeft w:val="0"/>
      <w:marRight w:val="0"/>
      <w:marTop w:val="0"/>
      <w:marBottom w:val="0"/>
      <w:divBdr>
        <w:top w:val="none" w:sz="0" w:space="0" w:color="auto"/>
        <w:left w:val="none" w:sz="0" w:space="0" w:color="auto"/>
        <w:bottom w:val="none" w:sz="0" w:space="0" w:color="auto"/>
        <w:right w:val="none" w:sz="0" w:space="0" w:color="auto"/>
      </w:divBdr>
    </w:div>
    <w:div w:id="543254954">
      <w:bodyDiv w:val="1"/>
      <w:marLeft w:val="0"/>
      <w:marRight w:val="0"/>
      <w:marTop w:val="0"/>
      <w:marBottom w:val="0"/>
      <w:divBdr>
        <w:top w:val="none" w:sz="0" w:space="0" w:color="auto"/>
        <w:left w:val="none" w:sz="0" w:space="0" w:color="auto"/>
        <w:bottom w:val="none" w:sz="0" w:space="0" w:color="auto"/>
        <w:right w:val="none" w:sz="0" w:space="0" w:color="auto"/>
      </w:divBdr>
    </w:div>
    <w:div w:id="665790699">
      <w:bodyDiv w:val="1"/>
      <w:marLeft w:val="0"/>
      <w:marRight w:val="0"/>
      <w:marTop w:val="0"/>
      <w:marBottom w:val="0"/>
      <w:divBdr>
        <w:top w:val="none" w:sz="0" w:space="0" w:color="auto"/>
        <w:left w:val="none" w:sz="0" w:space="0" w:color="auto"/>
        <w:bottom w:val="none" w:sz="0" w:space="0" w:color="auto"/>
        <w:right w:val="none" w:sz="0" w:space="0" w:color="auto"/>
      </w:divBdr>
    </w:div>
    <w:div w:id="711929466">
      <w:bodyDiv w:val="1"/>
      <w:marLeft w:val="0"/>
      <w:marRight w:val="0"/>
      <w:marTop w:val="0"/>
      <w:marBottom w:val="0"/>
      <w:divBdr>
        <w:top w:val="none" w:sz="0" w:space="0" w:color="auto"/>
        <w:left w:val="none" w:sz="0" w:space="0" w:color="auto"/>
        <w:bottom w:val="none" w:sz="0" w:space="0" w:color="auto"/>
        <w:right w:val="none" w:sz="0" w:space="0" w:color="auto"/>
      </w:divBdr>
    </w:div>
    <w:div w:id="716275386">
      <w:bodyDiv w:val="1"/>
      <w:marLeft w:val="0"/>
      <w:marRight w:val="0"/>
      <w:marTop w:val="0"/>
      <w:marBottom w:val="0"/>
      <w:divBdr>
        <w:top w:val="none" w:sz="0" w:space="0" w:color="auto"/>
        <w:left w:val="none" w:sz="0" w:space="0" w:color="auto"/>
        <w:bottom w:val="none" w:sz="0" w:space="0" w:color="auto"/>
        <w:right w:val="none" w:sz="0" w:space="0" w:color="auto"/>
      </w:divBdr>
    </w:div>
    <w:div w:id="723453205">
      <w:bodyDiv w:val="1"/>
      <w:marLeft w:val="0"/>
      <w:marRight w:val="0"/>
      <w:marTop w:val="0"/>
      <w:marBottom w:val="0"/>
      <w:divBdr>
        <w:top w:val="none" w:sz="0" w:space="0" w:color="auto"/>
        <w:left w:val="none" w:sz="0" w:space="0" w:color="auto"/>
        <w:bottom w:val="none" w:sz="0" w:space="0" w:color="auto"/>
        <w:right w:val="none" w:sz="0" w:space="0" w:color="auto"/>
      </w:divBdr>
    </w:div>
    <w:div w:id="808474737">
      <w:bodyDiv w:val="1"/>
      <w:marLeft w:val="0"/>
      <w:marRight w:val="0"/>
      <w:marTop w:val="0"/>
      <w:marBottom w:val="0"/>
      <w:divBdr>
        <w:top w:val="none" w:sz="0" w:space="0" w:color="auto"/>
        <w:left w:val="none" w:sz="0" w:space="0" w:color="auto"/>
        <w:bottom w:val="none" w:sz="0" w:space="0" w:color="auto"/>
        <w:right w:val="none" w:sz="0" w:space="0" w:color="auto"/>
      </w:divBdr>
    </w:div>
    <w:div w:id="828835455">
      <w:bodyDiv w:val="1"/>
      <w:marLeft w:val="0"/>
      <w:marRight w:val="0"/>
      <w:marTop w:val="0"/>
      <w:marBottom w:val="0"/>
      <w:divBdr>
        <w:top w:val="none" w:sz="0" w:space="0" w:color="auto"/>
        <w:left w:val="none" w:sz="0" w:space="0" w:color="auto"/>
        <w:bottom w:val="none" w:sz="0" w:space="0" w:color="auto"/>
        <w:right w:val="none" w:sz="0" w:space="0" w:color="auto"/>
      </w:divBdr>
    </w:div>
    <w:div w:id="845092396">
      <w:bodyDiv w:val="1"/>
      <w:marLeft w:val="0"/>
      <w:marRight w:val="0"/>
      <w:marTop w:val="0"/>
      <w:marBottom w:val="0"/>
      <w:divBdr>
        <w:top w:val="none" w:sz="0" w:space="0" w:color="auto"/>
        <w:left w:val="none" w:sz="0" w:space="0" w:color="auto"/>
        <w:bottom w:val="none" w:sz="0" w:space="0" w:color="auto"/>
        <w:right w:val="none" w:sz="0" w:space="0" w:color="auto"/>
      </w:divBdr>
    </w:div>
    <w:div w:id="874467129">
      <w:bodyDiv w:val="1"/>
      <w:marLeft w:val="0"/>
      <w:marRight w:val="0"/>
      <w:marTop w:val="0"/>
      <w:marBottom w:val="0"/>
      <w:divBdr>
        <w:top w:val="none" w:sz="0" w:space="0" w:color="auto"/>
        <w:left w:val="none" w:sz="0" w:space="0" w:color="auto"/>
        <w:bottom w:val="none" w:sz="0" w:space="0" w:color="auto"/>
        <w:right w:val="none" w:sz="0" w:space="0" w:color="auto"/>
      </w:divBdr>
    </w:div>
    <w:div w:id="977341367">
      <w:bodyDiv w:val="1"/>
      <w:marLeft w:val="0"/>
      <w:marRight w:val="0"/>
      <w:marTop w:val="0"/>
      <w:marBottom w:val="0"/>
      <w:divBdr>
        <w:top w:val="none" w:sz="0" w:space="0" w:color="auto"/>
        <w:left w:val="none" w:sz="0" w:space="0" w:color="auto"/>
        <w:bottom w:val="none" w:sz="0" w:space="0" w:color="auto"/>
        <w:right w:val="none" w:sz="0" w:space="0" w:color="auto"/>
      </w:divBdr>
    </w:div>
    <w:div w:id="1141070269">
      <w:bodyDiv w:val="1"/>
      <w:marLeft w:val="0"/>
      <w:marRight w:val="0"/>
      <w:marTop w:val="0"/>
      <w:marBottom w:val="0"/>
      <w:divBdr>
        <w:top w:val="none" w:sz="0" w:space="0" w:color="auto"/>
        <w:left w:val="none" w:sz="0" w:space="0" w:color="auto"/>
        <w:bottom w:val="none" w:sz="0" w:space="0" w:color="auto"/>
        <w:right w:val="none" w:sz="0" w:space="0" w:color="auto"/>
      </w:divBdr>
    </w:div>
    <w:div w:id="1379016780">
      <w:bodyDiv w:val="1"/>
      <w:marLeft w:val="0"/>
      <w:marRight w:val="0"/>
      <w:marTop w:val="0"/>
      <w:marBottom w:val="0"/>
      <w:divBdr>
        <w:top w:val="none" w:sz="0" w:space="0" w:color="auto"/>
        <w:left w:val="none" w:sz="0" w:space="0" w:color="auto"/>
        <w:bottom w:val="none" w:sz="0" w:space="0" w:color="auto"/>
        <w:right w:val="none" w:sz="0" w:space="0" w:color="auto"/>
      </w:divBdr>
    </w:div>
    <w:div w:id="1391886008">
      <w:bodyDiv w:val="1"/>
      <w:marLeft w:val="0"/>
      <w:marRight w:val="0"/>
      <w:marTop w:val="0"/>
      <w:marBottom w:val="0"/>
      <w:divBdr>
        <w:top w:val="none" w:sz="0" w:space="0" w:color="auto"/>
        <w:left w:val="none" w:sz="0" w:space="0" w:color="auto"/>
        <w:bottom w:val="none" w:sz="0" w:space="0" w:color="auto"/>
        <w:right w:val="none" w:sz="0" w:space="0" w:color="auto"/>
      </w:divBdr>
    </w:div>
    <w:div w:id="1510943082">
      <w:bodyDiv w:val="1"/>
      <w:marLeft w:val="0"/>
      <w:marRight w:val="0"/>
      <w:marTop w:val="0"/>
      <w:marBottom w:val="0"/>
      <w:divBdr>
        <w:top w:val="none" w:sz="0" w:space="0" w:color="auto"/>
        <w:left w:val="none" w:sz="0" w:space="0" w:color="auto"/>
        <w:bottom w:val="none" w:sz="0" w:space="0" w:color="auto"/>
        <w:right w:val="none" w:sz="0" w:space="0" w:color="auto"/>
      </w:divBdr>
    </w:div>
    <w:div w:id="1774472042">
      <w:bodyDiv w:val="1"/>
      <w:marLeft w:val="0"/>
      <w:marRight w:val="0"/>
      <w:marTop w:val="0"/>
      <w:marBottom w:val="0"/>
      <w:divBdr>
        <w:top w:val="none" w:sz="0" w:space="0" w:color="auto"/>
        <w:left w:val="none" w:sz="0" w:space="0" w:color="auto"/>
        <w:bottom w:val="none" w:sz="0" w:space="0" w:color="auto"/>
        <w:right w:val="none" w:sz="0" w:space="0" w:color="auto"/>
      </w:divBdr>
    </w:div>
    <w:div w:id="1776560608">
      <w:bodyDiv w:val="1"/>
      <w:marLeft w:val="0"/>
      <w:marRight w:val="0"/>
      <w:marTop w:val="0"/>
      <w:marBottom w:val="0"/>
      <w:divBdr>
        <w:top w:val="none" w:sz="0" w:space="0" w:color="auto"/>
        <w:left w:val="none" w:sz="0" w:space="0" w:color="auto"/>
        <w:bottom w:val="none" w:sz="0" w:space="0" w:color="auto"/>
        <w:right w:val="none" w:sz="0" w:space="0" w:color="auto"/>
      </w:divBdr>
    </w:div>
    <w:div w:id="1818574025">
      <w:bodyDiv w:val="1"/>
      <w:marLeft w:val="0"/>
      <w:marRight w:val="0"/>
      <w:marTop w:val="0"/>
      <w:marBottom w:val="0"/>
      <w:divBdr>
        <w:top w:val="none" w:sz="0" w:space="0" w:color="auto"/>
        <w:left w:val="none" w:sz="0" w:space="0" w:color="auto"/>
        <w:bottom w:val="none" w:sz="0" w:space="0" w:color="auto"/>
        <w:right w:val="none" w:sz="0" w:space="0" w:color="auto"/>
      </w:divBdr>
    </w:div>
    <w:div w:id="1881282081">
      <w:bodyDiv w:val="1"/>
      <w:marLeft w:val="0"/>
      <w:marRight w:val="0"/>
      <w:marTop w:val="0"/>
      <w:marBottom w:val="0"/>
      <w:divBdr>
        <w:top w:val="none" w:sz="0" w:space="0" w:color="auto"/>
        <w:left w:val="none" w:sz="0" w:space="0" w:color="auto"/>
        <w:bottom w:val="none" w:sz="0" w:space="0" w:color="auto"/>
        <w:right w:val="none" w:sz="0" w:space="0" w:color="auto"/>
      </w:divBdr>
    </w:div>
    <w:div w:id="1967658102">
      <w:bodyDiv w:val="1"/>
      <w:marLeft w:val="0"/>
      <w:marRight w:val="0"/>
      <w:marTop w:val="0"/>
      <w:marBottom w:val="0"/>
      <w:divBdr>
        <w:top w:val="none" w:sz="0" w:space="0" w:color="auto"/>
        <w:left w:val="none" w:sz="0" w:space="0" w:color="auto"/>
        <w:bottom w:val="none" w:sz="0" w:space="0" w:color="auto"/>
        <w:right w:val="none" w:sz="0" w:space="0" w:color="auto"/>
      </w:divBdr>
    </w:div>
    <w:div w:id="2063675538">
      <w:bodyDiv w:val="1"/>
      <w:marLeft w:val="0"/>
      <w:marRight w:val="0"/>
      <w:marTop w:val="0"/>
      <w:marBottom w:val="0"/>
      <w:divBdr>
        <w:top w:val="none" w:sz="0" w:space="0" w:color="auto"/>
        <w:left w:val="none" w:sz="0" w:space="0" w:color="auto"/>
        <w:bottom w:val="none" w:sz="0" w:space="0" w:color="auto"/>
        <w:right w:val="none" w:sz="0" w:space="0" w:color="auto"/>
      </w:divBdr>
    </w:div>
    <w:div w:id="2088771426">
      <w:bodyDiv w:val="1"/>
      <w:marLeft w:val="0"/>
      <w:marRight w:val="0"/>
      <w:marTop w:val="0"/>
      <w:marBottom w:val="0"/>
      <w:divBdr>
        <w:top w:val="none" w:sz="0" w:space="0" w:color="auto"/>
        <w:left w:val="none" w:sz="0" w:space="0" w:color="auto"/>
        <w:bottom w:val="none" w:sz="0" w:space="0" w:color="auto"/>
        <w:right w:val="none" w:sz="0" w:space="0" w:color="auto"/>
      </w:divBdr>
    </w:div>
    <w:div w:id="210209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B1354-9390-4059-B266-1CB2887790E7}">
  <ds:schemaRefs>
    <ds:schemaRef ds:uri="http://schemas.openxmlformats.org/officeDocument/2006/bibliography"/>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1281</TotalTime>
  <Pages>24</Pages>
  <Words>8410</Words>
  <Characters>42668</Characters>
  <Application>Microsoft Office Word</Application>
  <DocSecurity>0</DocSecurity>
  <Lines>355</Lines>
  <Paragraphs>101</Paragraphs>
  <ScaleCrop>false</ScaleCrop>
  <HeadingPairs>
    <vt:vector size="2" baseType="variant">
      <vt:variant>
        <vt:lpstr>Title</vt:lpstr>
      </vt:variant>
      <vt:variant>
        <vt:i4>1</vt:i4>
      </vt:variant>
    </vt:vector>
  </HeadingPairs>
  <TitlesOfParts>
    <vt:vector size="1" baseType="lpstr">
      <vt:lpstr/>
    </vt:vector>
  </TitlesOfParts>
  <Company>Department of Attorney General &amp; Justice</Company>
  <LinksUpToDate>false</LinksUpToDate>
  <CharactersWithSpaces>50977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Xabi Errotabehere</dc:creator>
  <cp:keywords/>
  <dc:description/>
  <cp:lastModifiedBy>Shayeer Emanee</cp:lastModifiedBy>
  <cp:revision>10</cp:revision>
  <dcterms:created xsi:type="dcterms:W3CDTF">2026-03-19T22:53:00Z</dcterms:created>
  <dcterms:modified xsi:type="dcterms:W3CDTF">2026-04-04T09:48:00Z</dcterms:modified>
</cp:coreProperties>
</file>