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0"/>
        <w:gridCol w:w="3626"/>
        <w:tblGridChange w:id="0">
          <w:tblGrid>
            <w:gridCol w:w="54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>
              <w:rPr>
                <w:rFonts w:ascii="Arial" w:cs="Arial" w:eastAsia="Arial" w:hAnsi="Arial"/>
                <w:color w:val="808080"/>
                <w:sz w:val="68"/>
                <w:szCs w:val="68"/>
                <w:rtl w:val="0"/>
              </w:rPr>
              <w:t xml:space="preserve">Shayeer</w:t>
            </w:r>
            <w:r>
              <w:rPr>
                <w:rFonts w:ascii="Arial" w:cs="Arial" w:eastAsia="Arial" w:hAnsi="Arial"/>
                <w:color w:val="000000"/>
                <w:sz w:val="68"/>
                <w:szCs w:val="68"/>
                <w:rtl w:val="0"/>
              </w:rPr>
              <w:t xml:space="preserve"> Emanee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0000"/>
                <w:sz w:val="34"/>
                <w:szCs w:val="34"/>
                <w:rtl w:val="0"/>
              </w:rPr>
              <w:t xml:space="preserve">Bachelor of Laws / Bachelor of Commerce Student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0" w:lineRule="auto"/>
              <w:jc w:val="right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Sydney, NSW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0" w:lineRule="auto"/>
              <w:jc w:val="right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Australia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0" w:lineRule="auto"/>
              <w:jc w:val="right"/>
              <w:rPr/>
            </w:pPr>
            <w:r>
              <w:rPr/>
              <w:drawing>
                <wp:inline distB="0" distT="0" distL="0" distR="0">
                  <wp:extent cx="123825" cy="1238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0426 962 239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0" w:lineRule="auto"/>
              <w:jc w:val="right"/>
              <w:rPr/>
            </w:pPr>
            <w:r>
              <w:rPr/>
              <w:drawing>
                <wp:inline distB="0" distT="0" distL="0" distR="0">
                  <wp:extent cx="123825" cy="1238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rtl w:val="0"/>
              </w:rPr>
              <w:t xml:space="preserve"> </w:t>
            </w:r>
            <w:hyperlink r:id="rId8">
              <w:r>
                <w:rPr>
                  <w:rFonts w:ascii="Arial" w:cs="Arial" w:eastAsia="Arial" w:hAnsi="Arial"/>
                  <w:i w:val="1"/>
                  <w:iCs w:val="1"/>
                  <w:color w:val="000000"/>
                  <w:sz w:val="20"/>
                  <w:szCs w:val="20"/>
                  <w:u w:val="none"/>
                  <w:rtl w:val="0"/>
                </w:rPr>
                <w:t xml:space="preserve">shayeer.emanee@gmail.com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0" w:lineRule="auto"/>
              <w:jc w:val="right"/>
              <w:rPr/>
            </w:pPr>
            <w:r>
              <w:rPr/>
              <w:drawing>
                <wp:inline distB="0" distT="0" distL="0" distR="0">
                  <wp:extent cx="123825" cy="12382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rtl w:val="0"/>
              </w:rPr>
              <w:t xml:space="preserve"> </w:t>
            </w:r>
            <w:hyperlink r:id="rId10">
              <w:r>
                <w:rPr>
                  <w:i w:val="1"/>
                  <w:iCs w:val="1"/>
                  <w:sz w:val="20"/>
                  <w:szCs w:val="20"/>
                  <w:rtl w:val="0"/>
                </w:rPr>
                <w:t xml:space="preserve">shayeerem.github.io/Portfolio/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jc w:val="right"/>
              <w:rPr/>
            </w:pPr>
            <w:hyperlink r:id="rId11">
              <w:r>
                <w:rPr>
                  <w:rFonts w:ascii="Arial" w:cs="Arial" w:eastAsia="Arial" w:hAnsi="Arial"/>
                  <w:i w:val="1"/>
                  <w:iCs w:val="1"/>
                  <w:color w:val="000000"/>
                  <w:sz w:val="20"/>
                  <w:szCs w:val="20"/>
                  <w:u w:val="none"/>
                  <w:rtl w:val="0"/>
                </w:rPr>
                <w:t xml:space="preserve">linkedin.com/in/shayeere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Rule="auto"/>
        <w:rPr/>
      </w:pPr>
      <w:r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Personal Profile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100" w:lineRule="auto"/>
        <w:jc w:val="both"/>
        <w:rPr/>
      </w:pPr>
      <w:r>
        <w:rPr>
          <w:rFonts w:ascii="Arial" w:cs="Arial" w:eastAsia="Arial" w:hAnsi="Arial"/>
          <w:color w:val="000000"/>
          <w:sz w:val="22"/>
          <w:szCs w:val="22"/>
          <w:rtl w:val="0"/>
        </w:rPr>
        <w:t>A motivated and reliable Bachelor of Laws / Bachelor of Commerce student at Macquarie University with a strong academic record, a legal writing portfolio of 15+ articles, and competitive Model United Nations experience including a Best Resolution award. A proactive, detail-focused team player who communicates clearly and is committed to building practical, long-term experience within a professional editorial or research environment.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Education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2026–Present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Bachelor of Laws / Bachelor of Commerce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Macquarie University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6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Commencing double degree program following high school graduation. Dual focus on commercial law, corporate finance, and system optimization.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2020–2025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Higher School Certificate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Girraween High School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NSW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Achieved a high-tier ATAR of 92.25. Demonstrated school leadership and active involvement in rigorous extracurricular programs.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rPr/>
      </w:pPr>
      <w:r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Work Experience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2026–Present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Part-Time Team Member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Woolworths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high-volume point-of-sale transactions and resolved customer inquiries under pressure, maintaining exemplary customer satisfaction ratings.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Optimised visual merchandising and inventory pipelines, executing precise stock replenishment workflows to maximize sales-floor efficiency.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strict compliance with occupational health and safety (WHS) codes, contributing to a clean, risk-free store environment.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Demonstrated outstanding self-discipline, successfully balancing part-time retail shifts with academic demands of double-degree law studies.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2025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Casual Team Member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El Jannah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Delivered highly accurate customer service and food coordination in a fast-paced hospitality environment, upholding stringent brand standards.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Collaborated with multidisciplinary teams to coordinate food safety (HACCP) protocols, ensuring immaculate hygiene across all stations.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Resolved customer escalations and peak-hour operational bottlenecks with active listening and rapid, level-headed problem solving.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Refined core communication skills, managing fast-flowing shifts with teamwork and efficient multitasking.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2023–Present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Co-Owner &amp; Technical Specialist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SAZICOR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Co-founded and expanded the digital agency’s client portfolio, managing contract negotiations, client relationships, and business-side admin.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Handled end-to-end client communications, translating complex technical software specifications into actionable, commercial goals.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accurate data entry and record-keeping across client databases and project trackers, utilising Microsoft Word, Excel, PowerPoint, and Outlook for reporting, invoicing, and client correspondence.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broader administrative and office support, including scheduling, document management, and correspondence handling, to keep client-facing operations running efficiently.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Student Recruitment Intern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Macquarie University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Assisted domestic and international recruitment divisions, advising prospective students on academic pathways and admission requirements.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Represented the university at high-touch educational events, displaying persuasive communication and professional public speaking skills.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Optimized administrative workflows and CRM student records, streamlining communication and lead tracking.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Analyzed student feedback to compile qualitative reports, helping optimize promotional strategies for future recruitment cycles.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Performed accurate, high-volume data entry across university CRM and enrolment databases, while applying strong working knowledge of Microsoft Word, Excel, PowerPoint, and Outlook to prepare reports and recruitment materials.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broader administrative support, including correspondence drafting, document formatting, diary management, and filing, ensuring smooth day-to-day operations within the recruitment division.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2023–2025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Freelance Photographer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Freelance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Cultivated a client-focused service model, managing bookings, high-end post-production, and final delivery of digital assets.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20" w:right="0" w:hanging="220"/>
              <w:jc w:val="both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technical proficiency in photography and Adobe Lightroom post-production workflows across a three-year freelance practice.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Leadership &amp; Extra-Curriculars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2024–2025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Member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Philosophy Club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Girraween High School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6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Engaged in the analytical deconstruction of ethical theories and formal logic, cultivating cognitive flexibility and structured reasoning.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2025–2026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Member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MQUNSOC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Sydney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Represented the Kingdom of Norway on the Economic and Social Council at GongMUN, winning Best Resolution for the committee; earlier interned in the EU Committee Council at SydMUN as a Year 12 student.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2021–2024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Library Leader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Girraween High School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NSW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Supervised student resources, handled peer-to-peer assistance programs, and streamlined operational logistics for school literacy festivals.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2021–2023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Founder &amp; President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Badminton Club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Girraween High School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Founded the club to encourage physical well-being; managed tournament scheduling, member recruitment, and organizational logistics.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2023–2025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0" w:lineRule="auto"/>
              <w:ind w:left="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Writer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Girraween High School Newsletter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ind w:left="0" w:firstLine="0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Wrote regular articles and reports as a contributing writer for the school’s student newsletter.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rPr/>
      </w:pPr>
      <w:r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Technical Skills &amp; Interests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Languages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>Bilingual proficiency in English and Bengali.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>Software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>Confident across the Microsoft Office suite (Word, Excel, PowerPoint, Outlook), CRM and data entry systems, and general office administration. Programming in C#, Python and SQL, with experience in website and web application development.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right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Interests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both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Reading, Creative writing, Board games, Photography and Art.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rPr/>
      </w:pP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>
              <w:rPr/>
              <w:drawing>
                <wp:inline distB="0" distT="0" distL="0" distR="0">
                  <wp:extent cx="952500" cy="666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References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1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both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Professional and academic references available upon request.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after="0" w:before="0" w:lineRule="auto"/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737373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i w:val="1"/>
        <w:iCs w:val="1"/>
        <w:color w:val="737373"/>
        <w:sz w:val="20"/>
        <w:szCs w:val="20"/>
        <w:rtl w:val="0"/>
      </w:rPr>
      <w:t xml:space="preserve">/</w:t>
    </w:r>
    <w:r w:rsidDel="00000000" w:rsidR="00000000" w:rsidRPr="00000000">
      <w:rPr>
        <w:rFonts w:ascii="Arial" w:cs="Arial" w:eastAsia="Arial" w:hAnsi="Arial"/>
        <w:i w:val="1"/>
        <w:iCs w:val="1"/>
        <w:color w:val="737373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220" w:hanging="220"/>
      </w:pPr>
      <w:rPr>
        <w:rFonts w:ascii="Arial" w:cs="Arial" w:eastAsia="Arial" w:hAnsi="Arial"/>
        <w:color w:val="3a75b3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linkedin.com/in/shayeere" TargetMode="External"/><Relationship Id="rId10" Type="http://schemas.openxmlformats.org/officeDocument/2006/relationships/hyperlink" Target="http://shayeerem.github.io/Portfolio/" TargetMode="External"/><Relationship Id="rId13" Type="http://schemas.openxmlformats.org/officeDocument/2006/relationships/footer" Target="foot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mailto:shayeer.emane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