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Desenvolvimento e Engenharia: Plataforma IAProfEPT</w:t>
      </w:r>
    </w:p>
    <w:p>
      <w:r>
        <w:rPr>
          <w:b/>
          <w:i/>
        </w:rPr>
        <w:t>Produto Educacional (PTT4)</w:t>
      </w:r>
      <w:r>
        <w:rPr>
          <w:i/>
        </w:rPr>
        <w:t xml:space="preserve"> — Programa de Pós-Graduação em Educação Matemática (PPGEM / UFJF)</w:t>
      </w:r>
    </w:p>
    <w:p>
      <w:r>
        <w:rPr>
          <w:b/>
          <w:i/>
        </w:rPr>
        <w:t>Autor / Doutorando:</w:t>
      </w:r>
      <w:r>
        <w:rPr>
          <w:i/>
        </w:rPr>
        <w:t xml:space="preserve"> Maycon Luiz Amaral Magalhães</w:t>
      </w:r>
    </w:p>
    <w:p>
      <w:r>
        <w:rPr>
          <w:b/>
          <w:i/>
        </w:rPr>
        <w:t>Engenharia de Software:</w:t>
      </w:r>
      <w:r>
        <w:rPr>
          <w:i/>
        </w:rPr>
        <w:t xml:space="preserve"> Shayene Figueredo &amp; Samuel Amorim</w:t>
      </w:r>
    </w:p>
    <w:p>
      <w:r>
        <w:t xml:space="preserve">Este documento consolida o passo a passo da construção da plataforma </w:t>
      </w:r>
      <w:r>
        <w:rPr>
          <w:b/>
        </w:rPr>
        <w:t>IAProfEPT</w:t>
      </w:r>
      <w:r>
        <w:t>, detalhando as fases de desenvolvimento, as decisões arquiteturais adotadas e o rigor técnico-científico empregado para validar o uso de Inteligência Artificial na Educação Profissional e Tecnológica (EPT).</w:t>
      </w:r>
    </w:p>
    <w:p>
      <w:pPr>
        <w:pStyle w:val="Heading2"/>
      </w:pPr>
      <w:r>
        <w:t>1. Princípios e Diretrizes Fundamentais (Os Inegociáveis)</w:t>
      </w:r>
    </w:p>
    <w:p>
      <w:r>
        <w:t>Desde o início da arquitetura, o projeto foi guiado por princípios inegociáveis que garantem o rigor da tese de doutorado e a aplicabilidade pedagógica real:</w:t>
      </w:r>
    </w:p>
    <w:p>
      <w:pPr>
        <w:pStyle w:val="ListNumber"/>
      </w:pPr>
      <w:r>
        <w:rPr>
          <w:b/>
        </w:rPr>
        <w:t>Autonomia e Validação Docente:</w:t>
      </w:r>
      <w:r>
        <w:t xml:space="preserve"> A IA atua como assistente e provocadora, jamais como substituta. Todo conteúdo gerado carrega um banner obrigatório exigindo a validação ética e pedagógica do professor.</w:t>
      </w:r>
    </w:p>
    <w:p>
      <w:pPr>
        <w:pStyle w:val="ListNumber"/>
      </w:pPr>
      <w:r>
        <w:rPr>
          <w:b/>
        </w:rPr>
        <w:t>Proibição da "Caixa em Branco":</w:t>
      </w:r>
      <w:r>
        <w:t xml:space="preserve"> Professores de Matemática não precisam ser engenheiros de prompt. As interações com a IA ocorrem exclusivamente através de formulários estruturados (Componente Curricular, Nível da BNCC, Curso Técnico, Metodologia).</w:t>
      </w:r>
    </w:p>
    <w:p>
      <w:pPr>
        <w:pStyle w:val="ListNumber"/>
      </w:pPr>
      <w:r>
        <w:rPr>
          <w:b/>
        </w:rPr>
        <w:t>Teste A/B Empírico e IA Dupla:</w:t>
      </w:r>
      <w:r>
        <w:t xml:space="preserve"> A infraestrutura foi desenhada para chavear de forma transparente entre </w:t>
      </w:r>
      <w:r>
        <w:rPr>
          <w:b/>
        </w:rPr>
        <w:t>Groq (LLaMA 3.3 70B)</w:t>
      </w:r>
      <w:r>
        <w:t xml:space="preserve"> e </w:t>
      </w:r>
      <w:r>
        <w:rPr>
          <w:b/>
        </w:rPr>
        <w:t>Google Gemini 1.5</w:t>
      </w:r>
      <w:r>
        <w:t>, permitindo coleta de métricas de performance e qualidade para a pesquisa.</w:t>
      </w:r>
    </w:p>
    <w:p>
      <w:pPr>
        <w:pStyle w:val="ListNumber"/>
      </w:pPr>
      <w:r>
        <w:rPr>
          <w:b/>
        </w:rPr>
        <w:t>Identidade UFJF e Acessibilidade:</w:t>
      </w:r>
      <w:r>
        <w:t xml:space="preserve"> Design system construído sobre a paleta da UFJF (Verdes institucionais), cumprindo diretrizes rígidas de contraste (WCAG AA) e usabilidade.</w:t>
      </w:r>
    </w:p>
    <w:p>
      <w:pPr>
        <w:pStyle w:val="Heading2"/>
      </w:pPr>
      <w:r>
        <w:t>2. Fase 1: Arquitetura, Design System e MVP Navegável</w:t>
      </w:r>
    </w:p>
    <w:p>
      <w:r>
        <w:t>Na primeira fase, focamos em entregar o esqueleto front-end navegável (1:1 com o protótipo Figma), garantindo a estabilidade estrutural da plataforma.</w:t>
      </w:r>
    </w:p>
    <w:p>
      <w:pPr>
        <w:pStyle w:val="ListBullet"/>
      </w:pPr>
      <w:r>
        <w:rPr>
          <w:b/>
        </w:rPr>
        <w:t>Stack Tecnológico Inicial:</w:t>
      </w:r>
      <w:r>
        <w:t xml:space="preserve"> Optou-se por </w:t>
      </w:r>
      <w:r>
        <w:rPr>
          <w:b/>
        </w:rPr>
        <w:t>React 18 + Vite</w:t>
      </w:r>
      <w:r>
        <w:t xml:space="preserve"> para máxima performance, leveza e hot-reload, dispensando complexidades desnecessárias de Server-Side Rendering (SSR) nesse primeiro momento.</w:t>
      </w:r>
    </w:p>
    <w:p>
      <w:pPr>
        <w:pStyle w:val="ListBullet"/>
      </w:pPr>
      <w:r>
        <w:rPr>
          <w:b/>
        </w:rPr>
        <w:t>Design System &amp; UI:</w:t>
      </w:r>
      <w:r>
        <w:t xml:space="preserve"> Implementação das tipografias institucionais (Outfit, Plus Jakarta Sans, Space Grotesk para código), modais responsivos e componentes fluidos de alta acessibilidade.</w:t>
      </w:r>
    </w:p>
    <w:p>
      <w:pPr>
        <w:pStyle w:val="ListBullet"/>
      </w:pPr>
      <w:r>
        <w:rPr>
          <w:b/>
        </w:rPr>
        <w:t>Os 5 Ambientes Materializados:</w:t>
      </w:r>
    </w:p>
    <w:p>
      <w:pPr>
        <w:pStyle w:val="ListNumber"/>
      </w:pPr>
      <w:r>
        <w:rPr>
          <w:b/>
        </w:rPr>
        <w:t>Ambiente Formativo:</w:t>
      </w:r>
      <w:r>
        <w:t xml:space="preserve"> Trilhas, vídeos de capacitação e acervo de legislações.</w:t>
      </w:r>
    </w:p>
    <w:p>
      <w:pPr>
        <w:pStyle w:val="ListNumber"/>
      </w:pPr>
      <w:r>
        <w:rPr>
          <w:b/>
        </w:rPr>
        <w:t>Laboratório de IA:</w:t>
      </w:r>
      <w:r>
        <w:t xml:space="preserve"> Formulário restrito para geração de planos de aula e exercícios contextualizados à BNCC e aos eixos da EPT.</w:t>
      </w:r>
    </w:p>
    <w:p>
      <w:pPr>
        <w:pStyle w:val="ListNumber"/>
      </w:pPr>
      <w:r>
        <w:rPr>
          <w:b/>
        </w:rPr>
        <w:t>Repositório de Práticas:</w:t>
      </w:r>
      <w:r>
        <w:t xml:space="preserve"> Hub comunitário de curadoria, permitindo compartilhamento e exportação.</w:t>
      </w:r>
    </w:p>
    <w:p>
      <w:pPr>
        <w:pStyle w:val="ListNumber"/>
      </w:pPr>
      <w:r>
        <w:rPr>
          <w:b/>
        </w:rPr>
        <w:t>Painel de Reflexão:</w:t>
      </w:r>
      <w:r>
        <w:t xml:space="preserve"> Fóruns temáticos e espaços de problematização sobre a IA na sociedade.</w:t>
      </w:r>
    </w:p>
    <w:p>
      <w:pPr>
        <w:pStyle w:val="ListNumber"/>
      </w:pPr>
      <w:r>
        <w:rPr>
          <w:b/>
        </w:rPr>
        <w:t>Suporte &amp; Assistente mAIcon:</w:t>
      </w:r>
      <w:r>
        <w:t xml:space="preserve"> Widget flutuante que contextualiza as dúvidas e fornece guias diretos ao docente.</w:t>
      </w:r>
    </w:p>
    <w:p>
      <w:pPr>
        <w:pStyle w:val="ListBullet"/>
      </w:pPr>
      <w:r>
        <w:rPr>
          <w:b/>
        </w:rPr>
        <w:t>Autenticação e Onboarding:</w:t>
      </w:r>
      <w:r>
        <w:t xml:space="preserve"> Construção da tela de login institucional, formulário de cadastro validando o vínculo com a Rede Federal (RFEPCT) e um modal interativo de boas-vindas apresentando os 5 ambientes.</w:t>
      </w:r>
    </w:p>
    <w:p>
      <w:pPr>
        <w:pStyle w:val="Heading2"/>
      </w:pPr>
      <w:r>
        <w:t>3. Fase 2: Engenharia de Prompts Ocultos e Motor Backend</w:t>
      </w:r>
    </w:p>
    <w:p>
      <w:r>
        <w:t>Com o front-end estável, a segunda fase avançou para a construção do cérebro tecnológico e dos bastidores (backend).</w:t>
      </w:r>
    </w:p>
    <w:p>
      <w:pPr>
        <w:pStyle w:val="ListBullet"/>
      </w:pPr>
      <w:r>
        <w:rPr>
          <w:b/>
        </w:rPr>
        <w:t>Modelagem de Dados (PostgreSQL):</w:t>
      </w:r>
      <w:r>
        <w:t xml:space="preserve"> Criação de esquemas normalizados utilizando Prisma ORM. Foram modeladas entidades cruciais: </w:t>
      </w:r>
      <w:r>
        <w:t>Usuarios</w:t>
      </w:r>
      <w:r>
        <w:t xml:space="preserve">, </w:t>
      </w:r>
      <w:r>
        <w:t>InteracoesIA</w:t>
      </w:r>
      <w:r>
        <w:t xml:space="preserve">, </w:t>
      </w:r>
      <w:r>
        <w:t>MateriaisFormativos</w:t>
      </w:r>
      <w:r>
        <w:t xml:space="preserve">, </w:t>
      </w:r>
      <w:r>
        <w:t>PraticasRepositório</w:t>
      </w:r>
      <w:r>
        <w:t xml:space="preserve"> e métricas de uso.</w:t>
      </w:r>
    </w:p>
    <w:p>
      <w:pPr>
        <w:pStyle w:val="ListBullet"/>
      </w:pPr>
      <w:r>
        <w:rPr>
          <w:b/>
        </w:rPr>
        <w:t>Motor de Roteamento Inteligente (Circuit Breaker):</w:t>
      </w:r>
      <w:r>
        <w:t xml:space="preserve"> Implementação de um middleware avançado capaz de dividir o tráfego 50/50 entre a API do Groq e a do Gemini. Em caso de lentidão ou falha de um provedor, o sistema realiza um *fallback automático* para o outro, garantindo que o professor nunca fique sem resposta.</w:t>
      </w:r>
    </w:p>
    <w:p>
      <w:pPr>
        <w:pStyle w:val="ListBullet"/>
      </w:pPr>
      <w:r>
        <w:rPr>
          <w:b/>
        </w:rPr>
        <w:t>Injeção de Prompts (Server-Side):</w:t>
      </w:r>
      <w:r>
        <w:t xml:space="preserve"> A engenharia de prompt não ocorre no navegador. O backend recebe as variáveis (ex: Curso de Eletrotécnica, Função Afim) e injeta em templates complexos que garantem restrições de formatação e alinhamento pedagógico, antes de despachar para o LLM.</w:t>
      </w:r>
    </w:p>
    <w:p>
      <w:pPr>
        <w:pStyle w:val="ListBullet"/>
      </w:pPr>
      <w:r>
        <w:rPr>
          <w:b/>
        </w:rPr>
        <w:t>Gestão do Studio (Ambiente Formativo):</w:t>
      </w:r>
      <w:r>
        <w:t xml:space="preserve"> Criação de uma área administrativa protegida para upload de novos materiais, videoaulas e E-books sem a necessidade de reescrever o código da aplicação.</w:t>
      </w:r>
    </w:p>
    <w:p>
      <w:pPr>
        <w:pStyle w:val="Heading2"/>
      </w:pPr>
      <w:r>
        <w:t>4. Fase 3 e 4: Preparação DevOps, Testes e Produção</w:t>
      </w:r>
    </w:p>
    <w:p>
      <w:r>
        <w:t>Para garantir que a plataforma sustente o Piloto A/B com dezenas de professores da RFEPCT acessando simultaneamente, aplicamos rigorosas práticas de Engenharia de Confiabilidade (SRE) e Qualidade.</w:t>
      </w:r>
    </w:p>
    <w:p>
      <w:pPr>
        <w:pStyle w:val="ListBullet"/>
      </w:pPr>
      <w:r>
        <w:rPr>
          <w:b/>
        </w:rPr>
        <w:t>Cobertura de Testes de Software:</w:t>
      </w:r>
      <w:r>
        <w:t xml:space="preserve"> Desenvolvimento de uma robusta suíte de testes (Vitest / Pytest) cobrindo rotas críticas, validação do schema do banco e simulação de mocks das APIs do Groq e Gemini.</w:t>
      </w:r>
    </w:p>
    <w:p>
      <w:pPr>
        <w:pStyle w:val="ListBullet"/>
      </w:pPr>
      <w:r>
        <w:rPr>
          <w:b/>
        </w:rPr>
        <w:t>Testes de Carga e Concorrência:</w:t>
      </w:r>
      <w:r>
        <w:t xml:space="preserve"> Simulação estresse usando ferramentas como *k6/Artillery*, provando que a API de IA aguenta filas e requisições massivas sem consumir memória excessiva ou derrubar o banco de dados.</w:t>
      </w:r>
    </w:p>
    <w:p>
      <w:pPr>
        <w:pStyle w:val="ListBullet"/>
      </w:pPr>
      <w:r>
        <w:rPr>
          <w:b/>
        </w:rPr>
        <w:t>Políticas de Backup (Disaster Recovery):</w:t>
      </w:r>
      <w:r>
        <w:t xml:space="preserve"> Automação de </w:t>
      </w:r>
      <w:r>
        <w:t>pg_dump</w:t>
      </w:r>
      <w:r>
        <w:t xml:space="preserve"> via CRON para backup diário do banco de dados, com compressão, retenção de 30 dias e scripts de restauração em menos de 15 minutos, protegendo os dados empíricos da tese.</w:t>
      </w:r>
    </w:p>
    <w:p>
      <w:pPr>
        <w:pStyle w:val="ListBullet"/>
      </w:pPr>
      <w:r>
        <w:rPr>
          <w:b/>
        </w:rPr>
        <w:t>Deploy e Infraestrutura (Servidores UFJF):</w:t>
      </w:r>
      <w:r>
        <w:t xml:space="preserve"> Configuração em ambiente Linux de produção com PM2 gerenciando o ciclo de vida do Node.js, banco PostgreSQL endurecido com políticas restritas de acesso e um proxy reverso </w:t>
      </w:r>
      <w:r>
        <w:rPr>
          <w:b/>
        </w:rPr>
        <w:t>Nginx</w:t>
      </w:r>
      <w:r>
        <w:t xml:space="preserve"> orquestrando certificados SSL (HTTPS) sob o subdomínio oficial da UFJF.</w:t>
      </w:r>
    </w:p>
    <w:p>
      <w:pPr>
        <w:pStyle w:val="Heading2"/>
      </w:pPr>
      <w:r>
        <w:t>5. Resumo das Decisões Arquiteturais (ADRs) Documentadas</w:t>
      </w:r>
    </w:p>
    <w:p>
      <w:r>
        <w:t xml:space="preserve">Ao longo do desenvolvimento, registramos </w:t>
      </w:r>
      <w:r>
        <w:rPr>
          <w:b/>
        </w:rPr>
        <w:t>25 Architectural Decision Records (ADRs)</w:t>
      </w:r>
      <w:r>
        <w:t xml:space="preserve"> para rastreabilidade acadêmica. Entre as mais críticas:</w:t>
      </w:r>
    </w:p>
    <w:p>
      <w:pPr>
        <w:pStyle w:val="ListBullet"/>
      </w:pPr>
      <w:r>
        <w:rPr>
          <w:b/>
        </w:rPr>
        <w:t>ADR 001:</w:t>
      </w:r>
      <w:r>
        <w:t xml:space="preserve"> Proibição de prompts em branco para foco total na avaliação e não na operação técnica.</w:t>
      </w:r>
    </w:p>
    <w:p>
      <w:pPr>
        <w:pStyle w:val="ListBullet"/>
      </w:pPr>
      <w:r>
        <w:rPr>
          <w:b/>
        </w:rPr>
        <w:t>ADR 002:</w:t>
      </w:r>
      <w:r>
        <w:t xml:space="preserve"> Obrigatoriedade do banner ético validando o papel insubstituível do professor.</w:t>
      </w:r>
    </w:p>
    <w:p>
      <w:pPr>
        <w:pStyle w:val="ListBullet"/>
      </w:pPr>
      <w:r>
        <w:rPr>
          <w:b/>
        </w:rPr>
        <w:t>ADR 003, 013 e 014:</w:t>
      </w:r>
      <w:r>
        <w:t xml:space="preserve"> Desenho do Teste A/B de 30 dias e da infraestrutura de Fallback Groq ↔ Gemini.</w:t>
      </w:r>
    </w:p>
    <w:p>
      <w:pPr>
        <w:pStyle w:val="ListBullet"/>
      </w:pPr>
      <w:r>
        <w:rPr>
          <w:b/>
        </w:rPr>
        <w:t>ADR 005 e 008:</w:t>
      </w:r>
      <w:r>
        <w:t xml:space="preserve"> Controle rigoroso de cadastro para docentes da RFEPCT e aceite do Termo de Consentimento (TCLE) aprovado pelo CEP/UFJF.</w:t>
      </w:r>
    </w:p>
    <w:p>
      <w:pPr>
        <w:pStyle w:val="ListBullet"/>
      </w:pPr>
      <w:r>
        <w:rPr>
          <w:b/>
        </w:rPr>
        <w:t>ADR 016 e 025:</w:t>
      </w:r>
      <w:r>
        <w:t xml:space="preserve"> Estruturação dos dados gerados visando a posterior exportação estatística para a tese e análise qualitativa.</w:t>
      </w:r>
    </w:p>
    <w:p>
      <w:r>
        <w:rPr>
          <w:b/>
          <w:i/>
        </w:rPr>
        <w:t>Status Atual:</w:t>
      </w:r>
      <w:r>
        <w:rPr>
          <w:i/>
        </w:rPr>
        <w:t xml:space="preserve"> A plataforma transicionou com sucesso do MVP navegável (Fase 1) para a maturidade de integração de IAs e infraestrutura backend (Fase 2). A aplicação encontra-se empacotada, testada em carga, resguardada por políticas de backup de dados e devidamente provisionada para rodar em alta disponibilidade nos servidores da UFJF, pronta para o Teste A/B empírico na Rede Federal.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