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90228047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90228048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90228049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90228050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90228051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90228052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90228053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90228054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 xml:space="preserve"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56" type="#_x0000_t75" style="width:134.25pt;height:21pt" o:ole="">
            <v:imagedata r:id="rId27" o:title=""/>
          </v:shape>
          <o:OLEObject Type="Embed" ProgID="Equation.DSMT4" ShapeID="_x0000_i1056" DrawAspect="Content" ObjectID="_1590228055" r:id="rId28"/>
        </w:object>
      </w:r>
      <w:r>
        <w:rPr>
          <w:szCs w:val="24"/>
        </w:rPr>
        <w:t xml:space="preserve"> </w:t>
      </w:r>
      <w:r w:rsidR="00FF20D5">
        <w:rPr>
          <w:szCs w:val="24"/>
        </w:rPr>
        <w:t>(1.1.3)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FF20D5" w:rsidRDefault="006A7488" w:rsidP="006A7488">
      <w:pPr>
        <w:rPr>
          <w:szCs w:val="24"/>
        </w:rPr>
      </w:pPr>
      <w:r>
        <w:rPr>
          <w:szCs w:val="24"/>
        </w:rPr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57" type="#_x0000_t75" style="width:180.75pt;height:39.75pt" o:ole="">
            <v:imagedata r:id="rId29" o:title=""/>
          </v:shape>
          <o:OLEObject Type="Embed" ProgID="Equation.DSMT4" ShapeID="_x0000_i1057" DrawAspect="Content" ObjectID="_1590228056" r:id="rId30"/>
        </w:object>
      </w:r>
      <w:r w:rsidR="00FF20D5">
        <w:rPr>
          <w:szCs w:val="24"/>
        </w:rPr>
        <w:t xml:space="preserve"> </w:t>
      </w:r>
      <w:r w:rsidR="00FF20D5">
        <w:rPr>
          <w:szCs w:val="24"/>
        </w:rPr>
        <w:t>(</w:t>
      </w:r>
      <w:r w:rsidR="00FF20D5">
        <w:rPr>
          <w:szCs w:val="24"/>
        </w:rPr>
        <w:t>1.1.4</w:t>
      </w:r>
      <w:r w:rsidR="00FF20D5">
        <w:rPr>
          <w:szCs w:val="24"/>
        </w:rPr>
        <w:t>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FF20D5" w:rsidRPr="001E034A">
        <w:rPr>
          <w:position w:val="-26"/>
        </w:rPr>
        <w:object w:dxaOrig="4740" w:dyaOrig="639">
          <v:shape id="_x0000_i1058" type="#_x0000_t75" style="width:237pt;height:32.25pt" o:ole="">
            <v:imagedata r:id="rId32" o:title=""/>
          </v:shape>
          <o:OLEObject Type="Embed" ProgID="Equation.DSMT4" ShapeID="_x0000_i1058" DrawAspect="Content" ObjectID="_1590228057" r:id="rId33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3" type="#_x0000_t75" style="width:25.5pt;height:18.75pt" o:ole="">
            <v:imagedata r:id="rId34" o:title=""/>
          </v:shape>
          <o:OLEObject Type="Embed" ProgID="Equation.DSMT4" ShapeID="_x0000_i1033" DrawAspect="Content" ObjectID="_1590228058" r:id="rId35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4" type="#_x0000_t75" style="width:147pt;height:18.75pt" o:ole="">
            <v:imagedata r:id="rId36" o:title=""/>
          </v:shape>
          <o:OLEObject Type="Embed" ProgID="Equation.DSMT4" ShapeID="_x0000_i1034" DrawAspect="Content" ObjectID="_1590228059" r:id="rId37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5" type="#_x0000_t75" style="width:89.25pt;height:18.75pt" o:ole="">
            <v:imagedata r:id="rId38" o:title=""/>
          </v:shape>
          <o:OLEObject Type="Embed" ProgID="Equation.DSMT4" ShapeID="_x0000_i1035" DrawAspect="Content" ObjectID="_1590228060" r:id="rId39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6" type="#_x0000_t75" style="width:27.75pt;height:16.5pt" o:ole="">
            <v:imagedata r:id="rId40" o:title=""/>
          </v:shape>
          <o:OLEObject Type="Embed" ProgID="Equation.DSMT4" ShapeID="_x0000_i1036" DrawAspect="Content" ObjectID="_1590228061" r:id="rId41"/>
        </w:object>
      </w:r>
      <w:r w:rsidR="006C2338" w:rsidRPr="006C2338">
        <w:t>:</w:t>
      </w:r>
      <w:r w:rsidR="006C2338" w:rsidRPr="006C2338">
        <w:rPr>
          <w:position w:val="-12"/>
        </w:rPr>
        <w:object w:dxaOrig="2240" w:dyaOrig="360">
          <v:shape id="_x0000_i1037" type="#_x0000_t75" style="width:111.75pt;height:18pt" o:ole="">
            <v:imagedata r:id="rId42" o:title=""/>
          </v:shape>
          <o:OLEObject Type="Embed" ProgID="Equation.DSMT4" ShapeID="_x0000_i1037" DrawAspect="Content" ObjectID="_1590228062" r:id="rId43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lastRenderedPageBreak/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38" type="#_x0000_t75" style="width:45pt;height:16.5pt" o:ole="">
            <v:imagedata r:id="rId44" o:title=""/>
          </v:shape>
          <o:OLEObject Type="Embed" ProgID="Equation.DSMT4" ShapeID="_x0000_i1038" DrawAspect="Content" ObjectID="_1590228063" r:id="rId45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39" type="#_x0000_t75" style="width:103.5pt;height:33pt" o:ole="">
            <v:imagedata r:id="rId47" o:title=""/>
          </v:shape>
          <o:OLEObject Type="Embed" ProgID="Equation.DSMT4" ShapeID="_x0000_i1039" DrawAspect="Content" ObjectID="_1590228064" r:id="rId48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0" type="#_x0000_t75" style="width:314.5pt;height:58.2pt" o:ole="">
            <v:imagedata r:id="rId49" o:title=""/>
          </v:shape>
          <o:OLEObject Type="Embed" ProgID="Equation.DSMT4" ShapeID="_x0000_i1040" DrawAspect="Content" ObjectID="_1590228065" r:id="rId50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1.2.2.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B3005C" w:rsidP="00B3005C">
      <w:r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Pr="00CD7FAA">
        <w:rPr>
          <w:position w:val="-4"/>
        </w:rPr>
        <w:object w:dxaOrig="180" w:dyaOrig="279">
          <v:shape id="_x0000_i1041" type="#_x0000_t75" style="width:8.65pt;height:14.4pt" o:ole="">
            <v:imagedata r:id="rId52" o:title=""/>
          </v:shape>
          <o:OLEObject Type="Embed" ProgID="Equation.DSMT4" ShapeID="_x0000_i1041" DrawAspect="Content" ObjectID="_1590228066" r:id="rId53"/>
        </w:object>
      </w:r>
      <w:r w:rsidRPr="00CD7FAA">
        <w:rPr>
          <w:position w:val="-10"/>
        </w:rPr>
        <w:object w:dxaOrig="840" w:dyaOrig="340">
          <v:shape id="_x0000_i1042" type="#_x0000_t75" style="width:42.05pt;height:17.3pt" o:ole="">
            <v:imagedata r:id="rId54" o:title=""/>
          </v:shape>
          <o:OLEObject Type="Embed" ProgID="Equation.DSMT4" ShapeID="_x0000_i1042" DrawAspect="Content" ObjectID="_1590228067" r:id="rId55"/>
        </w:object>
      </w:r>
      <w:r>
        <w:t xml:space="preserve">, где </w:t>
      </w:r>
      <w:r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>
        <w:rPr>
          <w:i/>
        </w:rPr>
        <w:t xml:space="preserve"> </w:t>
      </w:r>
      <w:r>
        <w:t xml:space="preserve">поляризация среды и </w:t>
      </w:r>
      <w:r w:rsidRPr="00CD7FAA">
        <w:rPr>
          <w:position w:val="-10"/>
        </w:rPr>
        <w:object w:dxaOrig="240" w:dyaOrig="420">
          <v:shape id="_x0000_i1043" type="#_x0000_t75" style="width:12.1pt;height:21.3pt" o:ole="">
            <v:imagedata r:id="rId56" o:title=""/>
          </v:shape>
          <o:OLEObject Type="Embed" ProgID="Equation.DSMT4" ShapeID="_x0000_i1043" DrawAspect="Content" ObjectID="_1590228068" r:id="rId57"/>
        </w:object>
      </w:r>
      <w:r w:rsidR="00937616">
        <w:rPr>
          <w:position w:val="-10"/>
        </w:rPr>
        <w:t> </w:t>
      </w:r>
      <w:r w:rsidR="00937616">
        <w:t>–  т</w:t>
      </w:r>
      <w:r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Pr="00CD7FAA">
        <w:rPr>
          <w:b/>
          <w:i/>
          <w:lang w:val="en-US"/>
        </w:rPr>
        <w:t>E</w:t>
      </w:r>
      <w:r>
        <w:t xml:space="preserve"> </w:t>
      </w:r>
      <w:r w:rsidRPr="00CD7FAA">
        <w:t>~</w:t>
      </w:r>
      <w:r>
        <w:t>10</w:t>
      </w:r>
      <w:r w:rsidRPr="00CD7FAA">
        <w:rPr>
          <w:vertAlign w:val="superscript"/>
        </w:rPr>
        <w:t>9</w:t>
      </w:r>
      <w:r>
        <w:t>В</w:t>
      </w:r>
      <w:r w:rsidRPr="00CD7FAA">
        <w:t>/</w:t>
      </w:r>
      <w:r>
        <w:t xml:space="preserve">м), то в поляризации среды возникают нелинейные компоненты на частотах, отличных от </w:t>
      </w:r>
      <w:r w:rsidRPr="00D81ECA">
        <w:rPr>
          <w:i/>
          <w:lang w:val="en-US"/>
        </w:rPr>
        <w:t>ω</w:t>
      </w:r>
      <w:r>
        <w:t>. В общем случае отклик среды от величины внешнего поля запишется в виде</w:t>
      </w:r>
      <w:r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4" type="#_x0000_t75" style="width:460.2pt;height:44.35pt" o:ole="">
            <v:imagedata r:id="rId58" o:title=""/>
          </v:shape>
          <o:OLEObject Type="Embed" ProgID="Equation.DSMT4" ShapeID="_x0000_i1044" DrawAspect="Content" ObjectID="_1590228069" r:id="rId59"/>
        </w:object>
      </w:r>
      <w:r w:rsidR="00B3005C" w:rsidRPr="00785383">
        <w:rPr>
          <w:position w:val="-4"/>
        </w:rPr>
        <w:object w:dxaOrig="180" w:dyaOrig="279">
          <v:shape id="_x0000_i1045" type="#_x0000_t75" style="width:8.65pt;height:14.4pt" o:ole="">
            <v:imagedata r:id="rId52" o:title=""/>
          </v:shape>
          <o:OLEObject Type="Embed" ProgID="Equation.DSMT4" ShapeID="_x0000_i1045" DrawAspect="Content" ObjectID="_1590228070" r:id="rId60"/>
        </w:object>
      </w:r>
    </w:p>
    <w:p w:rsidR="00B3005C" w:rsidRPr="00D55397" w:rsidRDefault="00B3005C" w:rsidP="00B3005C">
      <w:r>
        <w:t>В работе будут исследоваться эффекты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336820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1" o:title=""/>
            <w10:wrap type="square" side="right"/>
          </v:shape>
          <o:OLEObject Type="Embed" ProgID="Equation.DSMT4" ShapeID="_x0000_s1044" DrawAspect="Content" ObjectID="_1590228081" r:id="rId62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6" type="#_x0000_t75" style="width:50.1pt;height:18.45pt" o:ole="">
            <v:imagedata r:id="rId63" o:title=""/>
          </v:shape>
          <o:OLEObject Type="Embed" ProgID="Equation.DSMT4" ShapeID="_x0000_i1046" DrawAspect="Content" ObjectID="_1590228071" r:id="rId64"/>
        </w:object>
      </w:r>
      <w:r w:rsidR="00B3005C">
        <w:t xml:space="preserve">для волновых векторов полей на основной и удвоенной частотах, то </w:t>
      </w:r>
      <w:r w:rsidR="00B3005C">
        <w:lastRenderedPageBreak/>
        <w:t xml:space="preserve">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47" type="#_x0000_t75" style="width:22.45pt;height:23.6pt" o:ole="">
            <v:imagedata r:id="rId65" o:title=""/>
          </v:shape>
          <o:OLEObject Type="Embed" ProgID="Equation.DSMT4" ShapeID="_x0000_i1047" DrawAspect="Content" ObjectID="_1590228072" r:id="rId66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48" type="#_x0000_t75" style="width:79.5pt;height:23.6pt" o:ole="">
            <v:imagedata r:id="rId67" o:title=""/>
          </v:shape>
          <o:OLEObject Type="Embed" ProgID="Equation.DSMT4" ShapeID="_x0000_i1048" DrawAspect="Content" ObjectID="_1590228073" r:id="rId68"/>
        </w:object>
      </w:r>
      <w:r w:rsidR="004345CB">
        <w:t xml:space="preserve">, что возможно только </w:t>
      </w:r>
      <w:r w:rsidR="00D55397" w:rsidRPr="00CD7FAA">
        <w:rPr>
          <w:position w:val="-10"/>
        </w:rPr>
        <w:object w:dxaOrig="800" w:dyaOrig="480">
          <v:shape id="_x0000_i1049" type="#_x0000_t75" style="width:40.9pt;height:23.6pt" o:ole="">
            <v:imagedata r:id="rId69" o:title=""/>
          </v:shape>
          <o:OLEObject Type="Embed" ProgID="Equation.DSMT4" ShapeID="_x0000_i1049" DrawAspect="Content" ObjectID="_1590228074" r:id="rId70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E70D83" w:rsidRPr="00CD7FAA">
        <w:rPr>
          <w:position w:val="-10"/>
        </w:rPr>
        <w:object w:dxaOrig="2840" w:dyaOrig="480">
          <v:shape id="_x0000_i1050" type="#_x0000_t75" style="width:146.9pt;height:23.6pt" o:ole="">
            <v:imagedata r:id="rId71" o:title=""/>
          </v:shape>
          <o:OLEObject Type="Embed" ProgID="Equation.DSMT4" ShapeID="_x0000_i1050" DrawAspect="Content" ObjectID="_1590228075" r:id="rId72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>
        <w:rPr>
          <w:position w:val="-10"/>
        </w:rPr>
        <w:t xml:space="preserve">Магнитная среда приводит к нарушению симметрии среды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336820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1066" DrawAspect="Content" ObjectID="_1590228082" r:id="rId74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336820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5" o:title=""/>
            <w10:wrap type="square" side="right"/>
          </v:shape>
          <o:OLEObject Type="Embed" ProgID="Equation.DSMT4" ShapeID="_x0000_s1067" DrawAspect="Content" ObjectID="_1590228083" r:id="rId76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Pr="0059198E">
        <w:rPr>
          <w:position w:val="-14"/>
        </w:rPr>
        <w:object w:dxaOrig="460" w:dyaOrig="380">
          <v:shape id="_x0000_i1051" type="#_x0000_t75" style="width:29.95pt;height:24.2pt" o:ole="">
            <v:imagedata r:id="rId77" o:title=""/>
          </v:shape>
          <o:OLEObject Type="Embed" ProgID="Equation.DSMT4" ShapeID="_x0000_i1051" DrawAspect="Content" ObjectID="_1590228076" r:id="rId78"/>
        </w:object>
      </w:r>
      <w:r>
        <w:t xml:space="preserve">- часть тензора нелинейной восприимчивости, не зависящая от намагниченности и </w:t>
      </w:r>
      <w:r w:rsidRPr="0059198E">
        <w:rPr>
          <w:position w:val="-14"/>
        </w:rPr>
        <w:object w:dxaOrig="540" w:dyaOrig="380">
          <v:shape id="_x0000_i1052" type="#_x0000_t75" style="width:38pt;height:26.5pt" o:ole="">
            <v:imagedata r:id="rId79" o:title=""/>
          </v:shape>
          <o:OLEObject Type="Embed" ProgID="Equation.DSMT4" ShapeID="_x0000_i1052" DrawAspect="Content" ObjectID="_1590228077" r:id="rId80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336820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2pt;z-index:251663360;mso-position-horizontal-relative:text;mso-position-vertical-relative:text">
            <v:imagedata r:id="rId81" o:title=""/>
            <w10:wrap type="square" side="right"/>
          </v:shape>
          <o:OLEObject Type="Embed" ProgID="Equation.DSMT4" ShapeID="_x0000_s1068" DrawAspect="Content" ObjectID="_1590228084" r:id="rId82"/>
        </w:object>
      </w:r>
    </w:p>
    <w:p w:rsidR="004F3077" w:rsidRPr="00F65B0C" w:rsidRDefault="004F3077" w:rsidP="008E2555"/>
    <w:p w:rsidR="004F3077" w:rsidRPr="008D635D" w:rsidRDefault="008D635D" w:rsidP="008E2555">
      <w:r>
        <w:lastRenderedPageBreak/>
        <w:t xml:space="preserve">где </w:t>
      </w:r>
      <w:r w:rsidRPr="008D635D">
        <w:rPr>
          <w:position w:val="-4"/>
        </w:rPr>
        <w:object w:dxaOrig="300" w:dyaOrig="300">
          <v:shape id="_x0000_i1053" type="#_x0000_t75" style="width:19.6pt;height:19.6pt" o:ole="">
            <v:imagedata r:id="rId83" o:title=""/>
          </v:shape>
          <o:OLEObject Type="Embed" ProgID="Equation.DSMT4" ShapeID="_x0000_i1053" DrawAspect="Content" ObjectID="_1590228078" r:id="rId84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4" type="#_x0000_t75" style="width:17.3pt;height:15.55pt" o:ole="">
            <v:imagedata r:id="rId85" o:title=""/>
          </v:shape>
          <o:OLEObject Type="Embed" ProgID="Equation.DSMT4" ShapeID="_x0000_i1054" DrawAspect="Content" ObjectID="_1590228079" r:id="rId86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5" type="#_x0000_t75" style="width:17.3pt;height:15.55pt" o:ole="">
            <v:imagedata r:id="rId85" o:title=""/>
          </v:shape>
          <o:OLEObject Type="Embed" ProgID="Equation.DSMT4" ShapeID="_x0000_i1055" DrawAspect="Content" ObjectID="_1590228080" r:id="rId87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(1.2.??)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336820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4.65pt;height:24.1pt;z-index:25166438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69" DrawAspect="Content" ObjectID="_1590228085" r:id="rId89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разупорядоченно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>
        <w:t xml:space="preserve">В работе </w:t>
      </w:r>
      <w:r w:rsidR="003C7177" w:rsidRPr="008058AA">
        <w:t>[]</w:t>
      </w:r>
      <w:r w:rsidR="003C7177">
        <w:t xml:space="preserve"> было показано, что ...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>позволяют наблюдать за взаимодействием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</w:t>
      </w:r>
      <w:r w:rsidR="0066414D">
        <w:lastRenderedPageBreak/>
        <w:t>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сенсор на основе схемы Кречмана.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923F20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 xml:space="preserve">[].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F20D5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bookmarkStart w:id="0" w:name="_GoBack"/>
      <w:bookmarkEnd w:id="0"/>
    </w:p>
    <w:p w:rsidR="00980B97" w:rsidRPr="00980B97" w:rsidRDefault="00980B97" w:rsidP="007C6D4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602C89" w:rsidRPr="00980B97" w:rsidRDefault="00602C89" w:rsidP="007C6D48">
      <w:pPr>
        <w:rPr>
          <w:color w:val="000000" w:themeColor="text1"/>
        </w:rPr>
      </w:pPr>
    </w:p>
    <w:p w:rsidR="004F3077" w:rsidRPr="00923F20" w:rsidRDefault="0035113A" w:rsidP="008E2555">
      <w:r w:rsidRPr="00923F20">
        <w:tab/>
      </w:r>
    </w:p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770989" w:rsidRPr="00923F20" w:rsidRDefault="004F3077" w:rsidP="004F3077">
      <w:pPr>
        <w:ind w:left="0"/>
      </w:pPr>
      <w:r w:rsidRPr="00923F20">
        <w:tab/>
      </w:r>
      <w:r w:rsidRPr="00923F20">
        <w:tab/>
      </w:r>
    </w:p>
    <w:p w:rsidR="00770989" w:rsidRPr="00923F20" w:rsidRDefault="00770989" w:rsidP="004F3077">
      <w:pPr>
        <w:ind w:left="0"/>
      </w:pPr>
    </w:p>
    <w:p w:rsidR="00770989" w:rsidRPr="00923F20" w:rsidRDefault="00770989" w:rsidP="004F3077">
      <w:pPr>
        <w:ind w:left="0"/>
      </w:pPr>
    </w:p>
    <w:p w:rsidR="00770989" w:rsidRPr="00923F20" w:rsidRDefault="00770989" w:rsidP="004F3077">
      <w:pPr>
        <w:ind w:left="0"/>
      </w:pPr>
    </w:p>
    <w:p w:rsidR="00414F96" w:rsidRPr="00923F20" w:rsidRDefault="00770989" w:rsidP="004F3077">
      <w:pPr>
        <w:ind w:left="0"/>
      </w:pPr>
      <w:r w:rsidRPr="00923F20">
        <w:tab/>
      </w:r>
      <w:r w:rsidRPr="00923F20">
        <w:tab/>
      </w: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F3077" w:rsidRPr="00923F20" w:rsidRDefault="004F3077" w:rsidP="00414F96">
      <w:pPr>
        <w:ind w:left="1560"/>
      </w:pPr>
      <w:r>
        <w:t>Литература</w:t>
      </w:r>
      <w:r w:rsidRPr="00923F20">
        <w:t>:</w:t>
      </w:r>
    </w:p>
    <w:p w:rsidR="004F3077" w:rsidRPr="00923F20" w:rsidRDefault="004F3077" w:rsidP="008757FF">
      <w:pPr>
        <w:pStyle w:val="ListParagraph"/>
        <w:ind w:left="2133"/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p w:rsidR="008D5773" w:rsidRPr="00D4755C" w:rsidRDefault="008D5773" w:rsidP="008E2555">
      <w:pPr>
        <w:rPr>
          <w:lang w:val="en-US"/>
        </w:rPr>
      </w:pPr>
    </w:p>
    <w:sectPr w:rsidR="008D5773" w:rsidRPr="00D4755C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820" w:rsidRDefault="00336820" w:rsidP="0016786B">
      <w:pPr>
        <w:spacing w:line="240" w:lineRule="auto"/>
      </w:pPr>
      <w:r>
        <w:separator/>
      </w:r>
    </w:p>
  </w:endnote>
  <w:endnote w:type="continuationSeparator" w:id="0">
    <w:p w:rsidR="00336820" w:rsidRDefault="00336820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820" w:rsidRDefault="00336820" w:rsidP="0016786B">
      <w:pPr>
        <w:spacing w:line="240" w:lineRule="auto"/>
      </w:pPr>
      <w:r>
        <w:separator/>
      </w:r>
    </w:p>
  </w:footnote>
  <w:footnote w:type="continuationSeparator" w:id="0">
    <w:p w:rsidR="00336820" w:rsidRDefault="00336820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6786B"/>
    <w:rsid w:val="00170677"/>
    <w:rsid w:val="00180EF3"/>
    <w:rsid w:val="001E034A"/>
    <w:rsid w:val="001E1E4F"/>
    <w:rsid w:val="001F7F78"/>
    <w:rsid w:val="002375C1"/>
    <w:rsid w:val="002449A7"/>
    <w:rsid w:val="00247E4E"/>
    <w:rsid w:val="002540C7"/>
    <w:rsid w:val="00266618"/>
    <w:rsid w:val="00270D93"/>
    <w:rsid w:val="0027734B"/>
    <w:rsid w:val="0028002F"/>
    <w:rsid w:val="002B112A"/>
    <w:rsid w:val="002C4C8B"/>
    <w:rsid w:val="002C6759"/>
    <w:rsid w:val="002D099F"/>
    <w:rsid w:val="002E6547"/>
    <w:rsid w:val="002F0816"/>
    <w:rsid w:val="002F49E8"/>
    <w:rsid w:val="00315F73"/>
    <w:rsid w:val="00336820"/>
    <w:rsid w:val="00345BF7"/>
    <w:rsid w:val="0035113A"/>
    <w:rsid w:val="0036539A"/>
    <w:rsid w:val="00375CC4"/>
    <w:rsid w:val="00386511"/>
    <w:rsid w:val="003876A9"/>
    <w:rsid w:val="003B228E"/>
    <w:rsid w:val="003B3839"/>
    <w:rsid w:val="003C7177"/>
    <w:rsid w:val="003F1556"/>
    <w:rsid w:val="003F7404"/>
    <w:rsid w:val="00414F96"/>
    <w:rsid w:val="004174B8"/>
    <w:rsid w:val="004345CB"/>
    <w:rsid w:val="004419D4"/>
    <w:rsid w:val="004532FF"/>
    <w:rsid w:val="00472FE4"/>
    <w:rsid w:val="004833CB"/>
    <w:rsid w:val="00492FFE"/>
    <w:rsid w:val="004F3077"/>
    <w:rsid w:val="00512226"/>
    <w:rsid w:val="00512F08"/>
    <w:rsid w:val="00513971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A7488"/>
    <w:rsid w:val="006C2338"/>
    <w:rsid w:val="006C4FC6"/>
    <w:rsid w:val="006E6A57"/>
    <w:rsid w:val="00701E61"/>
    <w:rsid w:val="007065A8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E1091"/>
    <w:rsid w:val="007E64B3"/>
    <w:rsid w:val="008058AA"/>
    <w:rsid w:val="0083469D"/>
    <w:rsid w:val="00865136"/>
    <w:rsid w:val="00870639"/>
    <w:rsid w:val="008757FF"/>
    <w:rsid w:val="00880953"/>
    <w:rsid w:val="008917C7"/>
    <w:rsid w:val="008A313D"/>
    <w:rsid w:val="008B0028"/>
    <w:rsid w:val="008B1862"/>
    <w:rsid w:val="008B3BAA"/>
    <w:rsid w:val="008D5328"/>
    <w:rsid w:val="008D5773"/>
    <w:rsid w:val="008D635D"/>
    <w:rsid w:val="008E2555"/>
    <w:rsid w:val="008E2B4D"/>
    <w:rsid w:val="00901337"/>
    <w:rsid w:val="0090645F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B038D"/>
    <w:rsid w:val="009C00BB"/>
    <w:rsid w:val="009F093E"/>
    <w:rsid w:val="00A05A96"/>
    <w:rsid w:val="00A0683D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4219"/>
    <w:rsid w:val="00B12EF7"/>
    <w:rsid w:val="00B22A7D"/>
    <w:rsid w:val="00B23BCE"/>
    <w:rsid w:val="00B3005C"/>
    <w:rsid w:val="00B50602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12EF0"/>
    <w:rsid w:val="00C20B13"/>
    <w:rsid w:val="00C231ED"/>
    <w:rsid w:val="00C33334"/>
    <w:rsid w:val="00C533B4"/>
    <w:rsid w:val="00C90D1F"/>
    <w:rsid w:val="00C9226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415A"/>
    <w:rsid w:val="00DC25ED"/>
    <w:rsid w:val="00DC4822"/>
    <w:rsid w:val="00DD275E"/>
    <w:rsid w:val="00DD4698"/>
    <w:rsid w:val="00DD485D"/>
    <w:rsid w:val="00DF4059"/>
    <w:rsid w:val="00E12AC5"/>
    <w:rsid w:val="00E45366"/>
    <w:rsid w:val="00E61B1A"/>
    <w:rsid w:val="00E67F6F"/>
    <w:rsid w:val="00E70D83"/>
    <w:rsid w:val="00EB301E"/>
    <w:rsid w:val="00ED0E1F"/>
    <w:rsid w:val="00ED674F"/>
    <w:rsid w:val="00F02983"/>
    <w:rsid w:val="00F12C96"/>
    <w:rsid w:val="00F12FB4"/>
    <w:rsid w:val="00F313D3"/>
    <w:rsid w:val="00F402AF"/>
    <w:rsid w:val="00F45B1A"/>
    <w:rsid w:val="00F54253"/>
    <w:rsid w:val="00F6159D"/>
    <w:rsid w:val="00F65B0C"/>
    <w:rsid w:val="00F75590"/>
    <w:rsid w:val="00F87AF2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52B16FFF-C5F2-4941-8104-6847DBB9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12</Pages>
  <Words>3186</Words>
  <Characters>18164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113</cp:revision>
  <dcterms:created xsi:type="dcterms:W3CDTF">2018-05-02T12:32:00Z</dcterms:created>
  <dcterms:modified xsi:type="dcterms:W3CDTF">2018-06-11T10:10:00Z</dcterms:modified>
</cp:coreProperties>
</file>