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200"/>
        <w:jc w:val="center"/>
      </w:pPr>
      <w:r>
        <w:rPr>
          <w:rFonts w:ascii="Calibri" w:cs="Calibri" w:eastAsia="Calibri" w:hAnsi="Calibri"/>
          <w:b/>
          <w:bCs/>
          <w:color w:val="1F3864"/>
          <w:sz w:val="56"/>
          <w:szCs w:val="56"/>
        </w:rPr>
        <w:t xml:space="preserve">CUSTOMER CHURN</w:t>
      </w:r>
    </w:p>
    <w:p>
      <w:pPr>
        <w:spacing w:after="500"/>
        <w:jc w:val="center"/>
      </w:pPr>
      <w:r>
        <w:rPr>
          <w:rFonts w:ascii="Calibri" w:cs="Calibri" w:eastAsia="Calibri" w:hAnsi="Calibri"/>
          <w:b/>
          <w:bCs/>
          <w:color w:val="2E75B6"/>
          <w:sz w:val="56"/>
          <w:szCs w:val="56"/>
        </w:rPr>
        <w:t xml:space="preserve">ANALYSIS REPORT</w:t>
      </w:r>
    </w:p>
    <w:p>
      <w:pPr>
        <w:pBdr>
          <w:top w:val="single" w:color="2E75B6" w:sz="12" w:space="10"/>
        </w:pBdr>
        <w:spacing w:after="100"/>
        <w:jc w:val="center"/>
      </w:pPr>
      <w:r>
        <w:t xml:space="preserve"/>
      </w:r>
    </w:p>
    <w:p>
      <w:pPr>
        <w:spacing w:after="100" w:before="300"/>
        <w:jc w:val="center"/>
      </w:pPr>
      <w:r>
        <w:rPr>
          <w:rFonts w:ascii="Calibri" w:cs="Calibri" w:eastAsia="Calibri" w:hAnsi="Calibri"/>
          <w:i/>
          <w:iCs/>
          <w:color w:val="595959"/>
          <w:sz w:val="24"/>
          <w:szCs w:val="24"/>
        </w:rPr>
        <w:t xml:space="preserve">A Data-Driven Assessment of Customer Attrition, Balances, and Transaction Behavior</w:t>
      </w:r>
    </w:p>
    <w:p>
      <w:pPr>
        <w:spacing w:after="60" w:before="1600"/>
        <w:jc w:val="center"/>
      </w:pPr>
      <w:r>
        <w:rPr>
          <w:rFonts w:ascii="Calibri" w:cs="Calibri" w:eastAsia="Calibri" w:hAnsi="Calibri"/>
          <w:color w:val="212529"/>
          <w:sz w:val="22"/>
          <w:szCs w:val="22"/>
        </w:rPr>
        <w:t xml:space="preserve">Prepared using SQL and Microsoft Excel</w:t>
      </w:r>
    </w:p>
    <w:p>
      <w:pPr>
        <w:spacing w:after="60"/>
        <w:jc w:val="center"/>
      </w:pPr>
      <w:r>
        <w:rPr>
          <w:rFonts w:ascii="Calibri" w:cs="Calibri" w:eastAsia="Calibri" w:hAnsi="Calibri"/>
          <w:color w:val="212529"/>
          <w:sz w:val="22"/>
          <w:szCs w:val="22"/>
        </w:rPr>
        <w:t xml:space="preserve">Data Analyst Project Report</w:t>
      </w:r>
    </w:p>
    <w:p>
      <w:pPr>
        <w:spacing w:after="60"/>
        <w:jc w:val="center"/>
      </w:pPr>
      <w:r>
        <w:rPr>
          <w:rFonts w:ascii="Calibri" w:cs="Calibri" w:eastAsia="Calibri" w:hAnsi="Calibri"/>
          <w:color w:val="212529"/>
          <w:sz w:val="22"/>
          <w:szCs w:val="22"/>
        </w:rPr>
        <w:t xml:space="preserve">Dataset: Bank Customer Portfolio (28,383 Records)</w:t>
      </w:r>
    </w:p>
    <w:p>
      <w:pPr>
        <w:sectPr>
          <w:pgSz w:w="12240" w:h="15840" w:orient="portrait"/>
          <w:pgMar w:top="1440" w:right="1440" w:bottom="1440" w:left="1440" w:header="708" w:footer="708" w:gutter="0"/>
          <w:pgNumType/>
          <w:docGrid w:linePitch="360"/>
        </w:sectPr>
      </w:pPr>
    </w:p>
    <w:p>
      <w:pPr>
        <w:pStyle w:val="Heading1"/>
        <w:spacing w:after="200"/>
      </w:pPr>
      <w:r>
        <w:rPr>
          <w:rFonts w:ascii="Calibri" w:cs="Calibri" w:eastAsia="Calibri" w:hAnsi="Calibri"/>
          <w:b/>
          <w:bCs/>
          <w:color w:val="1F3864"/>
          <w:sz w:val="32"/>
          <w:szCs w:val="32"/>
        </w:rPr>
        <w:t xml:space="preserve">Table of Contents</w:t>
      </w:r>
    </w:p>
    <w:p>
      <w:pPr>
        <w:spacing w:after="140"/>
      </w:pPr>
      <w:r>
        <w:rPr>
          <w:rFonts w:ascii="Calibri" w:cs="Calibri" w:eastAsia="Calibri" w:hAnsi="Calibri"/>
          <w:color w:val="212529"/>
          <w:sz w:val="24"/>
          <w:szCs w:val="24"/>
        </w:rPr>
        <w:t xml:space="preserve">1.  Executive Summary</w:t>
      </w:r>
    </w:p>
    <w:p>
      <w:pPr>
        <w:spacing w:after="140"/>
      </w:pPr>
      <w:r>
        <w:rPr>
          <w:rFonts w:ascii="Calibri" w:cs="Calibri" w:eastAsia="Calibri" w:hAnsi="Calibri"/>
          <w:color w:val="212529"/>
          <w:sz w:val="24"/>
          <w:szCs w:val="24"/>
        </w:rPr>
        <w:t xml:space="preserve">2.  Introduction &amp; Methodology</w:t>
      </w:r>
    </w:p>
    <w:p>
      <w:pPr>
        <w:spacing w:after="140"/>
      </w:pPr>
      <w:r>
        <w:rPr>
          <w:rFonts w:ascii="Calibri" w:cs="Calibri" w:eastAsia="Calibri" w:hAnsi="Calibri"/>
          <w:color w:val="212529"/>
          <w:sz w:val="24"/>
          <w:szCs w:val="24"/>
        </w:rPr>
        <w:t xml:space="preserve">3.  Customer Portfolio Overview (Excel Analysis)</w:t>
      </w:r>
    </w:p>
    <w:p>
      <w:pPr>
        <w:spacing w:after="140"/>
      </w:pPr>
      <w:r>
        <w:rPr>
          <w:rFonts w:ascii="Calibri" w:cs="Calibri" w:eastAsia="Calibri" w:hAnsi="Calibri"/>
          <w:color w:val="212529"/>
          <w:sz w:val="24"/>
          <w:szCs w:val="24"/>
        </w:rPr>
        <w:t xml:space="preserve">4.  Churn Analysis (SQL Analysis)</w:t>
      </w:r>
    </w:p>
    <w:p>
      <w:pPr>
        <w:spacing w:after="140"/>
      </w:pPr>
      <w:r>
        <w:rPr>
          <w:rFonts w:ascii="Calibri" w:cs="Calibri" w:eastAsia="Calibri" w:hAnsi="Calibri"/>
          <w:color w:val="212529"/>
          <w:sz w:val="24"/>
          <w:szCs w:val="24"/>
        </w:rPr>
        <w:t xml:space="preserve">5.  Deep-Dive: Balance &amp; Transaction Behavior</w:t>
      </w:r>
    </w:p>
    <w:p>
      <w:pPr>
        <w:spacing w:after="140"/>
      </w:pPr>
      <w:r>
        <w:rPr>
          <w:rFonts w:ascii="Calibri" w:cs="Calibri" w:eastAsia="Calibri" w:hAnsi="Calibri"/>
          <w:color w:val="212529"/>
          <w:sz w:val="24"/>
          <w:szCs w:val="24"/>
        </w:rPr>
        <w:t xml:space="preserve">6.  Key Insights</w:t>
      </w:r>
    </w:p>
    <w:p>
      <w:pPr>
        <w:spacing w:after="140"/>
      </w:pPr>
      <w:r>
        <w:rPr>
          <w:rFonts w:ascii="Calibri" w:cs="Calibri" w:eastAsia="Calibri" w:hAnsi="Calibri"/>
          <w:color w:val="212529"/>
          <w:sz w:val="24"/>
          <w:szCs w:val="24"/>
        </w:rPr>
        <w:t xml:space="preserve">7.  Recommendations</w:t>
      </w:r>
    </w:p>
    <w:p>
      <w:pPr>
        <w:spacing w:after="140"/>
      </w:pPr>
      <w:r>
        <w:rPr>
          <w:rFonts w:ascii="Calibri" w:cs="Calibri" w:eastAsia="Calibri" w:hAnsi="Calibri"/>
          <w:color w:val="212529"/>
          <w:sz w:val="24"/>
          <w:szCs w:val="24"/>
        </w:rPr>
        <w:t xml:space="preserve">8.  Conclusion</w:t>
      </w:r>
    </w:p>
    <w:p>
      <w:pPr>
        <w:pStyle w:val="Heading1"/>
        <w:pBdr>
          <w:bottom w:val="single" w:color="2E75B6" w:sz="8" w:space="4"/>
        </w:pBdr>
        <w:spacing w:after="200" w:before="480"/>
      </w:pPr>
      <w:r>
        <w:rPr>
          <w:rFonts w:ascii="Calibri" w:cs="Calibri" w:eastAsia="Calibri" w:hAnsi="Calibri"/>
          <w:b/>
          <w:bCs/>
          <w:color w:val="1F3864"/>
          <w:sz w:val="32"/>
          <w:szCs w:val="32"/>
        </w:rPr>
        <w:t xml:space="preserve">1. Executive Summary</w:t>
      </w:r>
    </w:p>
    <w:p>
      <w:pPr>
        <w:spacing w:after="160" w:line="276"/>
        <w:jc w:val="left"/>
      </w:pPr>
      <w:r>
        <w:rPr>
          <w:rFonts w:ascii="Calibri" w:cs="Calibri" w:eastAsia="Calibri" w:hAnsi="Calibri"/>
          <w:b w:val="false"/>
          <w:bCs w:val="false"/>
          <w:i w:val="false"/>
          <w:iCs w:val="false"/>
          <w:color w:val="212529"/>
          <w:sz w:val="22"/>
          <w:szCs w:val="22"/>
        </w:rPr>
        <w:t xml:space="preserve">This report presents a comprehensive analysis of customer churn and account behavior across a portfolio of 28,383 customers, combining Excel-based exploratory analysis with intermediate SQL querying to uncover the drivers of attrition. The objective is to identify which customer segments are most likely to churn, how their financial behavior differs from retained customers, and where the business should focus retention efforts.</w:t>
      </w:r>
    </w:p>
    <w:p>
      <w:pPr>
        <w:spacing w:after="160" w:line="276"/>
        <w:jc w:val="left"/>
      </w:pPr>
      <w:r>
        <w:rPr>
          <w:rFonts w:ascii="Calibri" w:cs="Calibri" w:eastAsia="Calibri" w:hAnsi="Calibri"/>
          <w:b w:val="false"/>
          <w:bCs w:val="false"/>
          <w:i w:val="false"/>
          <w:iCs w:val="false"/>
          <w:color w:val="212529"/>
          <w:sz w:val="22"/>
          <w:szCs w:val="22"/>
        </w:rPr>
        <w:t xml:space="preserve">Overall, the portfolio recorded a churn rate of approximately 18.5%, with self-employed customers, specific high-risk branches, and lower-balance account holders showing disproportionately higher attrition. Churned customers carried an average balance nearly $2,650 lower than retained customers, suggesting that balance erosion is a meaningful early indicator of disengagement.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6FB" w:val="clear"/>
            <w:tcMar>
              <w:top w:type="dxa" w:w="160"/>
              <w:left w:type="dxa" w:w="120"/>
              <w:bottom w:type="dxa" w:w="160"/>
              <w:right w:type="dxa" w:w="120"/>
            </w:tcMar>
          </w:tcPr>
          <w:p>
            <w:pPr>
              <w:spacing w:after="60"/>
              <w:jc w:val="center"/>
            </w:pPr>
            <w:r>
              <w:rPr>
                <w:rFonts w:ascii="Calibri" w:cs="Calibri" w:eastAsia="Calibri" w:hAnsi="Calibri"/>
                <w:b/>
                <w:bCs/>
                <w:color w:val="1F3864"/>
                <w:sz w:val="30"/>
                <w:szCs w:val="30"/>
              </w:rPr>
              <w:t xml:space="preserve">28,383</w:t>
            </w:r>
          </w:p>
          <w:p>
            <w:pPr>
              <w:jc w:val="center"/>
            </w:pPr>
            <w:r>
              <w:rPr>
                <w:rFonts w:ascii="Calibri" w:cs="Calibri" w:eastAsia="Calibri" w:hAnsi="Calibri"/>
                <w:color w:val="595959"/>
                <w:sz w:val="18"/>
                <w:szCs w:val="18"/>
              </w:rPr>
              <w:t xml:space="preserve">Total Customers</w:t>
            </w:r>
          </w:p>
        </w:tc>
        <w:tc>
          <w:tcPr>
            <w:tcW w:type="dxa" w:w="2340"/>
            <w:shd w:fill="F2F6FB" w:val="clear"/>
            <w:tcMar>
              <w:top w:type="dxa" w:w="160"/>
              <w:left w:type="dxa" w:w="120"/>
              <w:bottom w:type="dxa" w:w="160"/>
              <w:right w:type="dxa" w:w="120"/>
            </w:tcMar>
          </w:tcPr>
          <w:p>
            <w:pPr>
              <w:spacing w:after="60"/>
              <w:jc w:val="center"/>
            </w:pPr>
            <w:r>
              <w:rPr>
                <w:rFonts w:ascii="Calibri" w:cs="Calibri" w:eastAsia="Calibri" w:hAnsi="Calibri"/>
                <w:b/>
                <w:bCs/>
                <w:color w:val="1F3864"/>
                <w:sz w:val="30"/>
                <w:szCs w:val="30"/>
              </w:rPr>
              <w:t xml:space="preserve">5,260</w:t>
            </w:r>
          </w:p>
          <w:p>
            <w:pPr>
              <w:jc w:val="center"/>
            </w:pPr>
            <w:r>
              <w:rPr>
                <w:rFonts w:ascii="Calibri" w:cs="Calibri" w:eastAsia="Calibri" w:hAnsi="Calibri"/>
                <w:color w:val="595959"/>
                <w:sz w:val="18"/>
                <w:szCs w:val="18"/>
              </w:rPr>
              <w:t xml:space="preserve">Churned Customers</w:t>
            </w:r>
          </w:p>
        </w:tc>
        <w:tc>
          <w:tcPr>
            <w:tcW w:type="dxa" w:w="2340"/>
            <w:shd w:fill="F2F6FB" w:val="clear"/>
            <w:tcMar>
              <w:top w:type="dxa" w:w="160"/>
              <w:left w:type="dxa" w:w="120"/>
              <w:bottom w:type="dxa" w:w="160"/>
              <w:right w:type="dxa" w:w="120"/>
            </w:tcMar>
          </w:tcPr>
          <w:p>
            <w:pPr>
              <w:spacing w:after="60"/>
              <w:jc w:val="center"/>
            </w:pPr>
            <w:r>
              <w:rPr>
                <w:rFonts w:ascii="Calibri" w:cs="Calibri" w:eastAsia="Calibri" w:hAnsi="Calibri"/>
                <w:b/>
                <w:bCs/>
                <w:color w:val="1F3864"/>
                <w:sz w:val="30"/>
                <w:szCs w:val="30"/>
              </w:rPr>
              <w:t xml:space="preserve">18.5%</w:t>
            </w:r>
          </w:p>
          <w:p>
            <w:pPr>
              <w:jc w:val="center"/>
            </w:pPr>
            <w:r>
              <w:rPr>
                <w:rFonts w:ascii="Calibri" w:cs="Calibri" w:eastAsia="Calibri" w:hAnsi="Calibri"/>
                <w:color w:val="595959"/>
                <w:sz w:val="18"/>
                <w:szCs w:val="18"/>
              </w:rPr>
              <w:t xml:space="preserve">Overall Churn Rate</w:t>
            </w:r>
          </w:p>
        </w:tc>
        <w:tc>
          <w:tcPr>
            <w:tcW w:type="dxa" w:w="2340"/>
            <w:shd w:fill="F2F6FB" w:val="clear"/>
            <w:tcMar>
              <w:top w:type="dxa" w:w="160"/>
              <w:left w:type="dxa" w:w="120"/>
              <w:bottom w:type="dxa" w:w="160"/>
              <w:right w:type="dxa" w:w="120"/>
            </w:tcMar>
          </w:tcPr>
          <w:p>
            <w:pPr>
              <w:spacing w:after="60"/>
              <w:jc w:val="center"/>
            </w:pPr>
            <w:r>
              <w:rPr>
                <w:rFonts w:ascii="Calibri" w:cs="Calibri" w:eastAsia="Calibri" w:hAnsi="Calibri"/>
                <w:b/>
                <w:bCs/>
                <w:color w:val="1F3864"/>
                <w:sz w:val="30"/>
                <w:szCs w:val="30"/>
              </w:rPr>
              <w:t xml:space="preserve">$7,380.55</w:t>
            </w:r>
          </w:p>
          <w:p>
            <w:pPr>
              <w:jc w:val="center"/>
            </w:pPr>
            <w:r>
              <w:rPr>
                <w:rFonts w:ascii="Calibri" w:cs="Calibri" w:eastAsia="Calibri" w:hAnsi="Calibri"/>
                <w:color w:val="595959"/>
                <w:sz w:val="18"/>
                <w:szCs w:val="18"/>
              </w:rPr>
              <w:t xml:space="preserve">Avg. Current Balance</w:t>
            </w:r>
          </w:p>
        </w:tc>
      </w:tr>
    </w:tbl>
    <w:p>
      <w:pPr>
        <w:spacing w:after="200"/>
      </w:pPr>
      <w:r>
        <w:t xml:space="preserve"/>
      </w:r>
    </w:p>
    <w:p>
      <w:pPr>
        <w:pStyle w:val="Heading1"/>
        <w:pBdr>
          <w:bottom w:val="single" w:color="2E75B6" w:sz="8" w:space="4"/>
        </w:pBdr>
        <w:spacing w:after="200" w:before="480"/>
      </w:pPr>
      <w:r>
        <w:rPr>
          <w:rFonts w:ascii="Calibri" w:cs="Calibri" w:eastAsia="Calibri" w:hAnsi="Calibri"/>
          <w:b/>
          <w:bCs/>
          <w:color w:val="1F3864"/>
          <w:sz w:val="32"/>
          <w:szCs w:val="32"/>
        </w:rPr>
        <w:t xml:space="preserve">2. Introduction &amp; Methodology</w:t>
      </w:r>
    </w:p>
    <w:p>
      <w:pPr>
        <w:spacing w:after="160" w:line="276"/>
        <w:jc w:val="left"/>
      </w:pPr>
      <w:r>
        <w:rPr>
          <w:rFonts w:ascii="Calibri" w:cs="Calibri" w:eastAsia="Calibri" w:hAnsi="Calibri"/>
          <w:b w:val="false"/>
          <w:bCs w:val="false"/>
          <w:i w:val="false"/>
          <w:iCs w:val="false"/>
          <w:color w:val="212529"/>
          <w:sz w:val="22"/>
          <w:szCs w:val="22"/>
        </w:rPr>
        <w:t xml:space="preserve">The analysis was conducted in two phases. The first phase used Microsoft Excel to profile the customer base — reviewing demographics, account balances, and transaction volumes through pivot tables and summary statistics. The second phase used intermediate-level SQL queries against the customer transaction database to isolate churn drivers, segment customers by risk, and quantify financial differences between churned and retained populations.</w:t>
      </w:r>
    </w:p>
    <w:p>
      <w:pPr>
        <w:pStyle w:val="ListParagraph"/>
        <w:numPr>
          <w:ilvl w:val="0"/>
          <w:numId w:val="2"/>
        </w:numPr>
        <w:spacing w:after="100"/>
      </w:pPr>
      <w:r>
        <w:rPr>
          <w:rFonts w:ascii="Calibri" w:cs="Calibri" w:eastAsia="Calibri" w:hAnsi="Calibri"/>
          <w:b w:val="false"/>
          <w:bCs w:val="false"/>
          <w:color w:val="212529"/>
          <w:sz w:val="22"/>
          <w:szCs w:val="22"/>
        </w:rPr>
        <w:t xml:space="preserve">Tools used: Microsoft Excel (pivot tables, aggregate formulas) and SQL (GROUP BY, aggregate functions, filtering, and comparative queries).</w:t>
      </w:r>
    </w:p>
    <w:p>
      <w:pPr>
        <w:pStyle w:val="ListParagraph"/>
        <w:numPr>
          <w:ilvl w:val="0"/>
          <w:numId w:val="2"/>
        </w:numPr>
        <w:spacing w:after="100"/>
      </w:pPr>
      <w:r>
        <w:rPr>
          <w:rFonts w:ascii="Calibri" w:cs="Calibri" w:eastAsia="Calibri" w:hAnsi="Calibri"/>
          <w:b w:val="false"/>
          <w:bCs w:val="false"/>
          <w:color w:val="212529"/>
          <w:sz w:val="22"/>
          <w:szCs w:val="22"/>
        </w:rPr>
        <w:t xml:space="preserve">Scope: Full customer portfolio of 28,383 records, including demographic attributes, branch/city assignment, occupation, and current vs. prior month balance and transaction data.</w:t>
      </w:r>
    </w:p>
    <w:p>
      <w:pPr>
        <w:pStyle w:val="ListParagraph"/>
        <w:numPr>
          <w:ilvl w:val="0"/>
          <w:numId w:val="2"/>
        </w:numPr>
        <w:spacing w:after="100"/>
      </w:pPr>
      <w:r>
        <w:rPr>
          <w:rFonts w:ascii="Calibri" w:cs="Calibri" w:eastAsia="Calibri" w:hAnsi="Calibri"/>
          <w:b w:val="false"/>
          <w:bCs w:val="false"/>
          <w:color w:val="212529"/>
          <w:sz w:val="22"/>
          <w:szCs w:val="22"/>
        </w:rPr>
        <w:t xml:space="preserve">Note on data quality: A small number of records contain missing or “unknown” values for gender and occupation; these were excluded from relevant comparative calculations and are flagged in the report where applicable.</w:t>
      </w:r>
    </w:p>
    <w:p>
      <w:pPr>
        <w:pStyle w:val="Heading1"/>
        <w:pBdr>
          <w:bottom w:val="single" w:color="2E75B6" w:sz="8" w:space="4"/>
        </w:pBdr>
        <w:spacing w:after="200" w:before="480"/>
      </w:pPr>
      <w:r>
        <w:rPr>
          <w:rFonts w:ascii="Calibri" w:cs="Calibri" w:eastAsia="Calibri" w:hAnsi="Calibri"/>
          <w:b/>
          <w:bCs/>
          <w:color w:val="1F3864"/>
          <w:sz w:val="32"/>
          <w:szCs w:val="32"/>
        </w:rPr>
        <w:t xml:space="preserve">3. Customer Portfolio Overview (Excel Analysis)</w:t>
      </w:r>
    </w:p>
    <w:p>
      <w:pPr>
        <w:spacing w:after="160" w:line="276"/>
        <w:jc w:val="left"/>
      </w:pPr>
      <w:r>
        <w:rPr>
          <w:rFonts w:ascii="Calibri" w:cs="Calibri" w:eastAsia="Calibri" w:hAnsi="Calibri"/>
          <w:b w:val="false"/>
          <w:bCs w:val="false"/>
          <w:i w:val="false"/>
          <w:iCs w:val="false"/>
          <w:color w:val="212529"/>
          <w:sz w:val="22"/>
          <w:szCs w:val="22"/>
        </w:rPr>
        <w:t xml:space="preserve">This section summarizes the composition of the customer base and its baseline financial profile, as derived from Excel pivot analysis.</w:t>
      </w:r>
    </w:p>
    <w:p>
      <w:pPr>
        <w:pStyle w:val="Heading2"/>
        <w:spacing w:after="140" w:before="320"/>
      </w:pPr>
      <w:r>
        <w:rPr>
          <w:rFonts w:ascii="Calibri" w:cs="Calibri" w:eastAsia="Calibri" w:hAnsi="Calibri"/>
          <w:b/>
          <w:bCs/>
          <w:color w:val="2E75B6"/>
          <w:sz w:val="26"/>
          <w:szCs w:val="26"/>
        </w:rPr>
        <w:t xml:space="preserve">3.1 Key Portfolio Metrics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0"/>
        <w:gridCol w:w="3200"/>
      </w:tblGrid>
      <w:tr>
        <w:trPr>
          <w:tblHeader/>
        </w:trPr>
        <w:tc>
          <w:tcPr>
            <w:tcW w:type="dxa" w:w="60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Metric</w:t>
            </w:r>
          </w:p>
        </w:tc>
        <w:tc>
          <w:tcPr>
            <w:tcW w:type="dxa" w:w="32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Value</w:t>
            </w:r>
          </w:p>
        </w:tc>
      </w:tr>
      <w:tr>
        <w:tc>
          <w:tcPr>
            <w:tcW w:type="dxa" w:w="60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Total customers</w:t>
            </w:r>
          </w:p>
        </w:tc>
        <w:tc>
          <w:tcPr>
            <w:tcW w:type="dxa" w:w="32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28,383</w:t>
            </w:r>
          </w:p>
        </w:tc>
      </w:tr>
      <w:tr>
        <w:tc>
          <w:tcPr>
            <w:tcW w:type="dxa" w:w="6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Customers churned</w:t>
            </w:r>
          </w:p>
        </w:tc>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5,260</w:t>
            </w:r>
          </w:p>
        </w:tc>
      </w:tr>
      <w:tr>
        <w:tc>
          <w:tcPr>
            <w:tcW w:type="dxa" w:w="60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Churn rate</w:t>
            </w:r>
          </w:p>
        </w:tc>
        <w:tc>
          <w:tcPr>
            <w:tcW w:type="dxa" w:w="32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18.5%</w:t>
            </w:r>
          </w:p>
        </w:tc>
      </w:tr>
      <w:tr>
        <w:tc>
          <w:tcPr>
            <w:tcW w:type="dxa" w:w="6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Average customer age</w:t>
            </w:r>
          </w:p>
        </w:tc>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48 years</w:t>
            </w:r>
          </w:p>
        </w:tc>
      </w:tr>
      <w:tr>
        <w:tc>
          <w:tcPr>
            <w:tcW w:type="dxa" w:w="60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Average current balance</w:t>
            </w:r>
          </w:p>
        </w:tc>
        <w:tc>
          <w:tcPr>
            <w:tcW w:type="dxa" w:w="32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$7,380.55</w:t>
            </w:r>
          </w:p>
        </w:tc>
      </w:tr>
      <w:tr>
        <w:tc>
          <w:tcPr>
            <w:tcW w:type="dxa" w:w="6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Average previous month-end balance</w:t>
            </w:r>
          </w:p>
        </w:tc>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$7,495.77</w:t>
            </w:r>
          </w:p>
        </w:tc>
      </w:tr>
      <w:tr>
        <w:tc>
          <w:tcPr>
            <w:tcW w:type="dxa" w:w="60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Average current month balance</w:t>
            </w:r>
          </w:p>
        </w:tc>
        <w:tc>
          <w:tcPr>
            <w:tcW w:type="dxa" w:w="32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$7,451.13</w:t>
            </w:r>
          </w:p>
        </w:tc>
      </w:tr>
    </w:tbl>
    <w:p>
      <w:pPr>
        <w:pStyle w:val="Heading2"/>
        <w:spacing w:after="140" w:before="320"/>
      </w:pPr>
      <w:r>
        <w:rPr>
          <w:rFonts w:ascii="Calibri" w:cs="Calibri" w:eastAsia="Calibri" w:hAnsi="Calibri"/>
          <w:b/>
          <w:bCs/>
          <w:color w:val="2E75B6"/>
          <w:sz w:val="26"/>
          <w:szCs w:val="26"/>
        </w:rPr>
        <w:t xml:space="preserve">3.2 Demographic Breakdown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000"/>
      </w:tblGrid>
      <w:tr>
        <w:trPr>
          <w:tblHeader/>
        </w:trPr>
        <w:tc>
          <w:tcPr>
            <w:tcW w:type="dxa" w:w="26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Dimension</w:t>
            </w:r>
          </w:p>
        </w:tc>
        <w:tc>
          <w:tcPr>
            <w:tcW w:type="dxa" w:w="26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Leading Segment</w:t>
            </w:r>
          </w:p>
        </w:tc>
        <w:tc>
          <w:tcPr>
            <w:tcW w:type="dxa" w:w="40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Detail</w:t>
            </w:r>
          </w:p>
        </w:tc>
      </w:tr>
      <w:tr>
        <w:tc>
          <w:tcPr>
            <w:tcW w:type="dxa" w:w="26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Gender distribution</w:t>
            </w:r>
          </w:p>
        </w:tc>
        <w:tc>
          <w:tcPr>
            <w:tcW w:type="dxa" w:w="26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Male</w:t>
            </w:r>
          </w:p>
        </w:tc>
        <w:tc>
          <w:tcPr>
            <w:tcW w:type="dxa" w:w="40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58.3% male vs. 39.9% female (remainder unspecified/blank)</w:t>
            </w:r>
          </w:p>
        </w:tc>
      </w:tr>
      <w:tr>
        <w:tc>
          <w:tcPr>
            <w:tcW w:type="dxa" w:w="2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Occupation</w:t>
            </w:r>
          </w:p>
        </w:tc>
        <w:tc>
          <w:tcPr>
            <w:tcW w:type="dxa" w:w="2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Self-employed</w:t>
            </w:r>
          </w:p>
        </w:tc>
        <w:tc>
          <w:tcPr>
            <w:tcW w:type="dxa" w:w="4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17,476 customers — the largest occupation segment</w:t>
            </w:r>
          </w:p>
        </w:tc>
      </w:tr>
      <w:tr>
        <w:tc>
          <w:tcPr>
            <w:tcW w:type="dxa" w:w="26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City</w:t>
            </w:r>
          </w:p>
        </w:tc>
        <w:tc>
          <w:tcPr>
            <w:tcW w:type="dxa" w:w="26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City 1020</w:t>
            </w:r>
          </w:p>
        </w:tc>
        <w:tc>
          <w:tcPr>
            <w:tcW w:type="dxa" w:w="40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3,479 customers — the largest customer base of any city</w:t>
            </w:r>
          </w:p>
        </w:tc>
      </w:tr>
      <w:tr>
        <w:tc>
          <w:tcPr>
            <w:tcW w:type="dxa" w:w="2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Customer network category</w:t>
            </w:r>
          </w:p>
        </w:tc>
        <w:tc>
          <w:tcPr>
            <w:tcW w:type="dxa" w:w="2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Category 2</w:t>
            </w:r>
          </w:p>
        </w:tc>
        <w:tc>
          <w:tcPr>
            <w:tcW w:type="dxa" w:w="4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14,559 customers</w:t>
            </w:r>
          </w:p>
        </w:tc>
      </w:tr>
      <w:tr>
        <w:tc>
          <w:tcPr>
            <w:tcW w:type="dxa" w:w="26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Age group</w:t>
            </w:r>
          </w:p>
        </w:tc>
        <w:tc>
          <w:tcPr>
            <w:tcW w:type="dxa" w:w="26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31–40 years</w:t>
            </w:r>
          </w:p>
        </w:tc>
        <w:tc>
          <w:tcPr>
            <w:tcW w:type="dxa" w:w="40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6,380 customers — the largest age cohort</w:t>
            </w:r>
          </w:p>
        </w:tc>
      </w:tr>
      <w:tr>
        <w:tc>
          <w:tcPr>
            <w:tcW w:type="dxa" w:w="2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Branch</w:t>
            </w:r>
          </w:p>
        </w:tc>
        <w:tc>
          <w:tcPr>
            <w:tcW w:type="dxa" w:w="2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Branch 19</w:t>
            </w:r>
          </w:p>
        </w:tc>
        <w:tc>
          <w:tcPr>
            <w:tcW w:type="dxa" w:w="4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145 customers — the highest single-branch headcount</w:t>
            </w:r>
          </w:p>
        </w:tc>
      </w:tr>
    </w:tbl>
    <w:p>
      <w:pPr>
        <w:pStyle w:val="Heading2"/>
        <w:spacing w:after="140" w:before="320"/>
      </w:pPr>
      <w:r>
        <w:rPr>
          <w:rFonts w:ascii="Calibri" w:cs="Calibri" w:eastAsia="Calibri" w:hAnsi="Calibri"/>
          <w:b/>
          <w:bCs/>
          <w:color w:val="2E75B6"/>
          <w:sz w:val="26"/>
          <w:szCs w:val="26"/>
        </w:rPr>
        <w:t xml:space="preserve">3.3 Balance &amp; Transaction Trends (Month-over-Month)</w:t>
      </w:r>
    </w:p>
    <w:p>
      <w:pPr>
        <w:spacing w:after="160" w:line="276"/>
        <w:jc w:val="left"/>
      </w:pPr>
      <w:r>
        <w:rPr>
          <w:rFonts w:ascii="Calibri" w:cs="Calibri" w:eastAsia="Calibri" w:hAnsi="Calibri"/>
          <w:b w:val="false"/>
          <w:bCs w:val="false"/>
          <w:i w:val="false"/>
          <w:iCs w:val="false"/>
          <w:color w:val="212529"/>
          <w:sz w:val="22"/>
          <w:szCs w:val="22"/>
        </w:rPr>
        <w:t xml:space="preserve">Comparing prior-month to current-month figures shows a slight net contraction in average balances, alongside a rise in both credit and debit activity — indicating increased account turnover rather than simple accumulation.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000"/>
      </w:tblGrid>
      <w:tr>
        <w:trPr>
          <w:tblHeader/>
        </w:trPr>
        <w:tc>
          <w:tcPr>
            <w:tcW w:type="dxa" w:w="28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Metric</w:t>
            </w:r>
          </w:p>
        </w:tc>
        <w:tc>
          <w:tcPr>
            <w:tcW w:type="dxa" w:w="22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Previous Month</w:t>
            </w:r>
          </w:p>
        </w:tc>
        <w:tc>
          <w:tcPr>
            <w:tcW w:type="dxa" w:w="22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Current Month</w:t>
            </w:r>
          </w:p>
        </w:tc>
        <w:tc>
          <w:tcPr>
            <w:tcW w:type="dxa" w:w="20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Change</w:t>
            </w:r>
          </w:p>
        </w:tc>
      </w:tr>
      <w:tr>
        <w:tc>
          <w:tcPr>
            <w:tcW w:type="dxa" w:w="28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Average balance</w:t>
            </w:r>
          </w:p>
        </w:tc>
        <w:tc>
          <w:tcPr>
            <w:tcW w:type="dxa" w:w="22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$7,495.77</w:t>
            </w:r>
          </w:p>
        </w:tc>
        <w:tc>
          <w:tcPr>
            <w:tcW w:type="dxa" w:w="22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$7,451.13</w:t>
            </w:r>
          </w:p>
        </w:tc>
        <w:tc>
          <w:tcPr>
            <w:tcW w:type="dxa" w:w="20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−$44.64</w:t>
            </w:r>
          </w:p>
        </w:tc>
      </w:tr>
      <w:tr>
        <w:tc>
          <w:tcPr>
            <w:tcW w:type="dxa" w:w="28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Average credit</w:t>
            </w:r>
          </w:p>
        </w:tc>
        <w:tc>
          <w:tcPr>
            <w:tcW w:type="dxa" w:w="2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$3,261.69</w:t>
            </w:r>
          </w:p>
        </w:tc>
        <w:tc>
          <w:tcPr>
            <w:tcW w:type="dxa" w:w="2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$3,433.25</w:t>
            </w:r>
          </w:p>
        </w:tc>
        <w:tc>
          <w:tcPr>
            <w:tcW w:type="dxa" w:w="2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+$171.56</w:t>
            </w:r>
          </w:p>
        </w:tc>
      </w:tr>
      <w:tr>
        <w:tc>
          <w:tcPr>
            <w:tcW w:type="dxa" w:w="28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Average debit</w:t>
            </w:r>
          </w:p>
        </w:tc>
        <w:tc>
          <w:tcPr>
            <w:tcW w:type="dxa" w:w="22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$3,339.76</w:t>
            </w:r>
          </w:p>
        </w:tc>
        <w:tc>
          <w:tcPr>
            <w:tcW w:type="dxa" w:w="22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$3,658.74</w:t>
            </w:r>
          </w:p>
        </w:tc>
        <w:tc>
          <w:tcPr>
            <w:tcW w:type="dxa" w:w="20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+$318.98</w:t>
            </w:r>
          </w:p>
        </w:tc>
      </w:tr>
    </w:tbl>
    <w:p>
      <w:pPr>
        <w:pStyle w:val="Heading1"/>
        <w:pBdr>
          <w:bottom w:val="single" w:color="2E75B6" w:sz="8" w:space="4"/>
        </w:pBdr>
        <w:spacing w:after="200" w:before="480"/>
      </w:pPr>
      <w:r>
        <w:rPr>
          <w:rFonts w:ascii="Calibri" w:cs="Calibri" w:eastAsia="Calibri" w:hAnsi="Calibri"/>
          <w:b/>
          <w:bCs/>
          <w:color w:val="1F3864"/>
          <w:sz w:val="32"/>
          <w:szCs w:val="32"/>
        </w:rPr>
        <w:t xml:space="preserve">4. Churn Analysis (SQL Analysis)</w:t>
      </w:r>
    </w:p>
    <w:p>
      <w:pPr>
        <w:spacing w:after="160" w:line="276"/>
        <w:jc w:val="left"/>
      </w:pPr>
      <w:r>
        <w:rPr>
          <w:rFonts w:ascii="Calibri" w:cs="Calibri" w:eastAsia="Calibri" w:hAnsi="Calibri"/>
          <w:b w:val="false"/>
          <w:bCs w:val="false"/>
          <w:i w:val="false"/>
          <w:iCs w:val="false"/>
          <w:color w:val="212529"/>
          <w:sz w:val="22"/>
          <w:szCs w:val="22"/>
        </w:rPr>
        <w:t xml:space="preserve">Using SQL, churn was analyzed across occupation, geography, age, and branch to identify where attrition is concentrated, and how churned customers differ financially from those retained.</w:t>
      </w:r>
    </w:p>
    <w:p>
      <w:pPr>
        <w:pStyle w:val="Heading2"/>
        <w:spacing w:after="140" w:before="320"/>
      </w:pPr>
      <w:r>
        <w:rPr>
          <w:rFonts w:ascii="Calibri" w:cs="Calibri" w:eastAsia="Calibri" w:hAnsi="Calibri"/>
          <w:b/>
          <w:bCs/>
          <w:color w:val="2E75B6"/>
          <w:sz w:val="26"/>
          <w:szCs w:val="26"/>
        </w:rPr>
        <w:t xml:space="preserve">4.1 Churn by Occupation</w:t>
      </w:r>
    </w:p>
    <w:p>
      <w:pPr>
        <w:spacing w:after="160" w:line="276"/>
        <w:jc w:val="left"/>
      </w:pPr>
      <w:r>
        <w:rPr>
          <w:rFonts w:ascii="Calibri" w:cs="Calibri" w:eastAsia="Calibri" w:hAnsi="Calibri"/>
          <w:b w:val="false"/>
          <w:bCs w:val="false"/>
          <w:i w:val="false"/>
          <w:iCs w:val="false"/>
          <w:color w:val="212529"/>
          <w:sz w:val="22"/>
          <w:szCs w:val="22"/>
        </w:rPr>
        <w:t xml:space="preserve">Self-employed customers recorded the highest churn rate among all occupation groups, at 19.84% — above the portfolio-wide average of 18.5%. This is a meaningful finding given that self-employed customers are also the largest occupation segment, meaning this group contributes disproportionately to total churn volume.</w:t>
      </w:r>
    </w:p>
    <w:p>
      <w:pPr>
        <w:pStyle w:val="Heading2"/>
        <w:spacing w:after="140" w:before="320"/>
      </w:pPr>
      <w:r>
        <w:rPr>
          <w:rFonts w:ascii="Calibri" w:cs="Calibri" w:eastAsia="Calibri" w:hAnsi="Calibri"/>
          <w:b/>
          <w:bCs/>
          <w:color w:val="2E75B6"/>
          <w:sz w:val="26"/>
          <w:szCs w:val="26"/>
        </w:rPr>
        <w:t xml:space="preserve">4.2 Churn by Geography</w:t>
      </w:r>
    </w:p>
    <w:p>
      <w:pPr>
        <w:spacing w:after="160" w:line="276"/>
        <w:jc w:val="left"/>
      </w:pPr>
      <w:r>
        <w:rPr>
          <w:rFonts w:ascii="Calibri" w:cs="Calibri" w:eastAsia="Calibri" w:hAnsi="Calibri"/>
          <w:b w:val="false"/>
          <w:bCs w:val="false"/>
          <w:i w:val="false"/>
          <w:iCs w:val="false"/>
          <w:color w:val="212529"/>
          <w:sz w:val="22"/>
          <w:szCs w:val="22"/>
        </w:rPr>
        <w:t xml:space="preserve">City 1020 recorded the highest volume of churned customers, with 610 customers lost. Notably, this is the same city that holds the largest total customer base (3,479 customers), suggesting that churn volume here is partly a function of scale rather than an unusually elevated rate — a distinction worth validating with a city-level churn-rate calculation in future analysis.</w:t>
      </w:r>
    </w:p>
    <w:p>
      <w:pPr>
        <w:pStyle w:val="Heading2"/>
        <w:spacing w:after="140" w:before="320"/>
      </w:pPr>
      <w:r>
        <w:rPr>
          <w:rFonts w:ascii="Calibri" w:cs="Calibri" w:eastAsia="Calibri" w:hAnsi="Calibri"/>
          <w:b/>
          <w:bCs/>
          <w:color w:val="2E75B6"/>
          <w:sz w:val="26"/>
          <w:szCs w:val="26"/>
        </w:rPr>
        <w:t xml:space="preserve">4.3 Churn by Age Group</w:t>
      </w:r>
    </w:p>
    <w:p>
      <w:pPr>
        <w:spacing w:after="160" w:line="276"/>
        <w:jc w:val="left"/>
      </w:pPr>
      <w:r>
        <w:rPr>
          <w:rFonts w:ascii="Calibri" w:cs="Calibri" w:eastAsia="Calibri" w:hAnsi="Calibri"/>
          <w:b w:val="false"/>
          <w:bCs w:val="false"/>
          <w:i w:val="false"/>
          <w:iCs w:val="false"/>
          <w:color w:val="212529"/>
          <w:sz w:val="22"/>
          <w:szCs w:val="22"/>
        </w:rPr>
        <w:t xml:space="preserve">The 26–35 age group was identified as having the highest churn rate of any age segment, indicating that early-to-mid career customers are the most attrition-prone cohort — a pattern often linked to lower product stickiness and greater price/service sensitivity at this life stage.</w:t>
      </w:r>
    </w:p>
    <w:p>
      <w:pPr>
        <w:pStyle w:val="Heading2"/>
        <w:spacing w:after="140" w:before="320"/>
      </w:pPr>
      <w:r>
        <w:rPr>
          <w:rFonts w:ascii="Calibri" w:cs="Calibri" w:eastAsia="Calibri" w:hAnsi="Calibri"/>
          <w:b/>
          <w:bCs/>
          <w:color w:val="2E75B6"/>
          <w:sz w:val="26"/>
          <w:szCs w:val="26"/>
        </w:rPr>
        <w:t xml:space="preserve">4.4 Churn by Branch</w:t>
      </w:r>
    </w:p>
    <w:p>
      <w:pPr>
        <w:spacing w:after="160" w:line="276"/>
        <w:jc w:val="left"/>
      </w:pPr>
      <w:r>
        <w:rPr>
          <w:rFonts w:ascii="Calibri" w:cs="Calibri" w:eastAsia="Calibri" w:hAnsi="Calibri"/>
          <w:b w:val="false"/>
          <w:bCs w:val="false"/>
          <w:i w:val="false"/>
          <w:iCs w:val="false"/>
          <w:color w:val="212529"/>
          <w:sz w:val="22"/>
          <w:szCs w:val="22"/>
        </w:rPr>
        <w:t xml:space="preserve">Branch-level analysis (restricted to branches with at least 50 customers, to avoid skew from very small populations) identified three branches with notably elevated churn: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200"/>
      </w:tblGrid>
      <w:tr>
        <w:trPr>
          <w:tblHeader/>
        </w:trPr>
        <w:tc>
          <w:tcPr>
            <w:tcW w:type="dxa" w:w="32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Branch</w:t>
            </w:r>
          </w:p>
        </w:tc>
        <w:tc>
          <w:tcPr>
            <w:tcW w:type="dxa" w:w="28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Churn Rate</w:t>
            </w:r>
          </w:p>
        </w:tc>
        <w:tc>
          <w:tcPr>
            <w:tcW w:type="dxa" w:w="32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Customers Churned</w:t>
            </w:r>
          </w:p>
        </w:tc>
      </w:tr>
      <w:tr>
        <w:tc>
          <w:tcPr>
            <w:tcW w:type="dxa" w:w="32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Branch 79</w:t>
            </w:r>
          </w:p>
        </w:tc>
        <w:tc>
          <w:tcPr>
            <w:tcW w:type="dxa" w:w="28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27.96%</w:t>
            </w:r>
          </w:p>
        </w:tc>
        <w:tc>
          <w:tcPr>
            <w:tcW w:type="dxa" w:w="32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26 of 93 customers</w:t>
            </w:r>
          </w:p>
        </w:tc>
      </w:tr>
      <w:tr>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Branch 47</w:t>
            </w:r>
          </w:p>
        </w:tc>
        <w:tc>
          <w:tcPr>
            <w:tcW w:type="dxa" w:w="28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25.81%</w:t>
            </w:r>
          </w:p>
        </w:tc>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w:t>
            </w:r>
          </w:p>
        </w:tc>
      </w:tr>
      <w:tr>
        <w:tc>
          <w:tcPr>
            <w:tcW w:type="dxa" w:w="32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Branch 6</w:t>
            </w:r>
          </w:p>
        </w:tc>
        <w:tc>
          <w:tcPr>
            <w:tcW w:type="dxa" w:w="28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24.65%</w:t>
            </w:r>
          </w:p>
        </w:tc>
        <w:tc>
          <w:tcPr>
            <w:tcW w:type="dxa" w:w="32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w:t>
            </w:r>
          </w:p>
        </w:tc>
      </w:tr>
    </w:tbl>
    <w:p>
      <w:pPr>
        <w:pStyle w:val="Heading2"/>
        <w:spacing w:after="140" w:before="320"/>
      </w:pPr>
      <w:r>
        <w:rPr>
          <w:rFonts w:ascii="Calibri" w:cs="Calibri" w:eastAsia="Calibri" w:hAnsi="Calibri"/>
          <w:b/>
          <w:bCs/>
          <w:color w:val="2E75B6"/>
          <w:sz w:val="26"/>
          <w:szCs w:val="26"/>
        </w:rPr>
        <w:t xml:space="preserve">4.5 Balance Comparison: Churned vs. Retained Customers</w:t>
      </w:r>
    </w:p>
    <w:p>
      <w:pPr>
        <w:spacing w:after="160" w:line="276"/>
        <w:jc w:val="left"/>
      </w:pPr>
      <w:r>
        <w:rPr>
          <w:rFonts w:ascii="Calibri" w:cs="Calibri" w:eastAsia="Calibri" w:hAnsi="Calibri"/>
          <w:b w:val="false"/>
          <w:bCs w:val="false"/>
          <w:i w:val="false"/>
          <w:iCs w:val="false"/>
          <w:color w:val="212529"/>
          <w:sz w:val="22"/>
          <w:szCs w:val="22"/>
        </w:rPr>
        <w:t xml:space="preserve">Churned customers carried substantially lower balances than retained customers, reinforcing balance level as a leading indicator of churn risk.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0"/>
        <w:gridCol w:w="3200"/>
      </w:tblGrid>
      <w:tr>
        <w:trPr>
          <w:tblHeader/>
        </w:trPr>
        <w:tc>
          <w:tcPr>
            <w:tcW w:type="dxa" w:w="60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Customer Group</w:t>
            </w:r>
          </w:p>
        </w:tc>
        <w:tc>
          <w:tcPr>
            <w:tcW w:type="dxa" w:w="32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Average Balance</w:t>
            </w:r>
          </w:p>
        </w:tc>
      </w:tr>
      <w:tr>
        <w:tc>
          <w:tcPr>
            <w:tcW w:type="dxa" w:w="60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Churned customers</w:t>
            </w:r>
          </w:p>
        </w:tc>
        <w:tc>
          <w:tcPr>
            <w:tcW w:type="dxa" w:w="32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$5,220.88</w:t>
            </w:r>
          </w:p>
        </w:tc>
      </w:tr>
      <w:tr>
        <w:tc>
          <w:tcPr>
            <w:tcW w:type="dxa" w:w="6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Retained customers</w:t>
            </w:r>
          </w:p>
        </w:tc>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$7,871.85</w:t>
            </w:r>
          </w:p>
        </w:tc>
      </w:tr>
      <w:tr>
        <w:tc>
          <w:tcPr>
            <w:tcW w:type="dxa" w:w="60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Difference</w:t>
            </w:r>
          </w:p>
        </w:tc>
        <w:tc>
          <w:tcPr>
            <w:tcW w:type="dxa" w:w="32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$2,650.97 lower for churned customers</w:t>
            </w:r>
          </w:p>
        </w:tc>
      </w:tr>
    </w:tbl>
    <w:p>
      <w:pPr>
        <w:pStyle w:val="Heading1"/>
        <w:pBdr>
          <w:bottom w:val="single" w:color="2E75B6" w:sz="8" w:space="4"/>
        </w:pBdr>
        <w:spacing w:after="200" w:before="480"/>
      </w:pPr>
      <w:r>
        <w:rPr>
          <w:rFonts w:ascii="Calibri" w:cs="Calibri" w:eastAsia="Calibri" w:hAnsi="Calibri"/>
          <w:b/>
          <w:bCs/>
          <w:color w:val="1F3864"/>
          <w:sz w:val="32"/>
          <w:szCs w:val="32"/>
        </w:rPr>
        <w:t xml:space="preserve">5. Deep-Dive: Balance &amp; Transaction Behavior</w:t>
      </w:r>
    </w:p>
    <w:p>
      <w:pPr>
        <w:pStyle w:val="Heading2"/>
        <w:spacing w:after="140" w:before="320"/>
      </w:pPr>
      <w:r>
        <w:rPr>
          <w:rFonts w:ascii="Calibri" w:cs="Calibri" w:eastAsia="Calibri" w:hAnsi="Calibri"/>
          <w:b/>
          <w:bCs/>
          <w:color w:val="2E75B6"/>
          <w:sz w:val="26"/>
          <w:szCs w:val="26"/>
        </w:rPr>
        <w:t xml:space="preserve">5.1 Average Balance by Occupation</w:t>
      </w:r>
    </w:p>
    <w:p>
      <w:pPr>
        <w:spacing w:after="160" w:line="276"/>
        <w:jc w:val="left"/>
      </w:pPr>
      <w:r>
        <w:rPr>
          <w:rFonts w:ascii="Calibri" w:cs="Calibri" w:eastAsia="Calibri" w:hAnsi="Calibri"/>
          <w:b w:val="false"/>
          <w:bCs w:val="false"/>
          <w:i w:val="false"/>
          <w:iCs w:val="false"/>
          <w:color w:val="212529"/>
          <w:sz w:val="22"/>
          <w:szCs w:val="22"/>
        </w:rPr>
        <w:t xml:space="preserve">Among customers with a known occupation, company-employed customers held the highest average current balance, followed by self-employed and salaried customers. The “unknown” occupation category showed a substantially higher average balance ($35,153.44) but was excluded from the primary comparison, as it likely reflects a small number of high-net-worth or outlier records rather than a genuine occupation segment.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200"/>
        <w:gridCol w:w="4000"/>
      </w:tblGrid>
      <w:tr>
        <w:trPr>
          <w:tblHeader/>
        </w:trPr>
        <w:tc>
          <w:tcPr>
            <w:tcW w:type="dxa" w:w="52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Occupation</w:t>
            </w:r>
          </w:p>
        </w:tc>
        <w:tc>
          <w:tcPr>
            <w:tcW w:type="dxa" w:w="40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Average Current Balance</w:t>
            </w:r>
          </w:p>
        </w:tc>
      </w:tr>
      <w:tr>
        <w:tc>
          <w:tcPr>
            <w:tcW w:type="dxa" w:w="52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Company</w:t>
            </w:r>
          </w:p>
        </w:tc>
        <w:tc>
          <w:tcPr>
            <w:tcW w:type="dxa" w:w="40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$8,255.49</w:t>
            </w:r>
          </w:p>
        </w:tc>
      </w:tr>
      <w:tr>
        <w:tc>
          <w:tcPr>
            <w:tcW w:type="dxa" w:w="5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Self-employed</w:t>
            </w:r>
          </w:p>
        </w:tc>
        <w:tc>
          <w:tcPr>
            <w:tcW w:type="dxa" w:w="4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$7,682.64</w:t>
            </w:r>
          </w:p>
        </w:tc>
      </w:tr>
      <w:tr>
        <w:tc>
          <w:tcPr>
            <w:tcW w:type="dxa" w:w="52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Salaried</w:t>
            </w:r>
          </w:p>
        </w:tc>
        <w:tc>
          <w:tcPr>
            <w:tcW w:type="dxa" w:w="40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$7,438.81</w:t>
            </w:r>
          </w:p>
        </w:tc>
      </w:tr>
      <w:tr>
        <w:tc>
          <w:tcPr>
            <w:tcW w:type="dxa" w:w="5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Unknown (excluded from comparison)</w:t>
            </w:r>
          </w:p>
        </w:tc>
        <w:tc>
          <w:tcPr>
            <w:tcW w:type="dxa" w:w="4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$35,153.44</w:t>
            </w:r>
          </w:p>
        </w:tc>
      </w:tr>
    </w:tbl>
    <w:p>
      <w:pPr>
        <w:pStyle w:val="Heading2"/>
        <w:spacing w:after="140" w:before="320"/>
      </w:pPr>
      <w:r>
        <w:rPr>
          <w:rFonts w:ascii="Calibri" w:cs="Calibri" w:eastAsia="Calibri" w:hAnsi="Calibri"/>
          <w:b/>
          <w:bCs/>
          <w:color w:val="2E75B6"/>
          <w:sz w:val="26"/>
          <w:szCs w:val="26"/>
        </w:rPr>
        <w:t xml:space="preserve">5.2 Branch &amp; City Balance Leaders</w:t>
      </w:r>
    </w:p>
    <w:p>
      <w:pPr>
        <w:spacing w:after="160" w:line="276"/>
        <w:jc w:val="left"/>
      </w:pPr>
      <w:r>
        <w:rPr>
          <w:rFonts w:ascii="Calibri" w:cs="Calibri" w:eastAsia="Calibri" w:hAnsi="Calibri"/>
          <w:b w:val="false"/>
          <w:bCs w:val="false"/>
          <w:i w:val="false"/>
          <w:iCs w:val="false"/>
          <w:color w:val="212529"/>
          <w:sz w:val="22"/>
          <w:szCs w:val="22"/>
        </w:rPr>
        <w:t xml:space="preserve">Branch 2542 held the highest total customer balance at $5.91 million — but this was concentrated among only three customers, indicating the figure is driven by a small number of high-balance accounts rather than broad branch performance.</w:t>
      </w:r>
    </w:p>
    <w:p>
      <w:pPr>
        <w:spacing w:after="160" w:line="276"/>
        <w:jc w:val="left"/>
      </w:pPr>
      <w:r>
        <w:rPr>
          <w:rFonts w:ascii="Calibri" w:cs="Calibri" w:eastAsia="Calibri" w:hAnsi="Calibri"/>
          <w:b w:val="false"/>
          <w:bCs w:val="false"/>
          <w:i w:val="false"/>
          <w:iCs w:val="false"/>
          <w:color w:val="212529"/>
          <w:sz w:val="22"/>
          <w:szCs w:val="22"/>
        </w:rPr>
        <w:t xml:space="preserve">At the city level, average balance did not track with customer volume: City 904 has the largest customer population among the top-10 cities (187 customers) but a comparatively modest average balance of $14,061.96, while City 243 has just 68 customers yet the highest average balance among this group, at $91,819.35.</w:t>
      </w:r>
    </w:p>
    <w:p>
      <w:pPr>
        <w:pStyle w:val="Heading2"/>
        <w:spacing w:after="140" w:before="320"/>
      </w:pPr>
      <w:r>
        <w:rPr>
          <w:rFonts w:ascii="Calibri" w:cs="Calibri" w:eastAsia="Calibri" w:hAnsi="Calibri"/>
          <w:b/>
          <w:bCs/>
          <w:color w:val="2E75B6"/>
          <w:sz w:val="26"/>
          <w:szCs w:val="26"/>
        </w:rPr>
        <w:t xml:space="preserve">5.3 Deposits &amp; Spending by Occupation</w:t>
      </w:r>
    </w:p>
    <w:p>
      <w:pPr>
        <w:spacing w:after="160" w:line="276"/>
        <w:jc w:val="left"/>
      </w:pPr>
      <w:r>
        <w:rPr>
          <w:rFonts w:ascii="Calibri" w:cs="Calibri" w:eastAsia="Calibri" w:hAnsi="Calibri"/>
          <w:b w:val="false"/>
          <w:bCs w:val="false"/>
          <w:i w:val="false"/>
          <w:iCs w:val="false"/>
          <w:color w:val="212529"/>
          <w:sz w:val="22"/>
          <w:szCs w:val="22"/>
        </w:rPr>
        <w:t xml:space="preserve">Self-employed customers led both deposit and spending activity, consistent with their status as the largest occupation segment and a segment with naturally higher cash-flow volume.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400"/>
      </w:tblGrid>
      <w:tr>
        <w:trPr>
          <w:tblHeader/>
        </w:trPr>
        <w:tc>
          <w:tcPr>
            <w:tcW w:type="dxa" w:w="32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Occupation</w:t>
            </w:r>
          </w:p>
        </w:tc>
        <w:tc>
          <w:tcPr>
            <w:tcW w:type="dxa" w:w="36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Total Current-Month Credits (Deposits)</w:t>
            </w:r>
          </w:p>
        </w:tc>
        <w:tc>
          <w:tcPr>
            <w:tcW w:type="dxa" w:w="24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Total Current-Month Debits (Spending)</w:t>
            </w:r>
          </w:p>
        </w:tc>
      </w:tr>
      <w:tr>
        <w:tc>
          <w:tcPr>
            <w:tcW w:type="dxa" w:w="32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Self-employed</w:t>
            </w:r>
          </w:p>
        </w:tc>
        <w:tc>
          <w:tcPr>
            <w:tcW w:type="dxa" w:w="36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$61,898,557.41</w:t>
            </w:r>
          </w:p>
        </w:tc>
        <w:tc>
          <w:tcPr>
            <w:tcW w:type="dxa" w:w="24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$68.00 million</w:t>
            </w:r>
          </w:p>
        </w:tc>
      </w:tr>
      <w:tr>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Salaried</w:t>
            </w:r>
          </w:p>
        </w:tc>
        <w:tc>
          <w:tcPr>
            <w:tcW w:type="dxa" w:w="3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w:t>
            </w:r>
          </w:p>
        </w:tc>
        <w:tc>
          <w:tcPr>
            <w:tcW w:type="dxa" w:w="2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$21.11 million</w:t>
            </w:r>
          </w:p>
        </w:tc>
      </w:tr>
      <w:tr>
        <w:tc>
          <w:tcPr>
            <w:tcW w:type="dxa" w:w="32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Retired</w:t>
            </w:r>
          </w:p>
        </w:tc>
        <w:tc>
          <w:tcPr>
            <w:tcW w:type="dxa" w:w="36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w:t>
            </w:r>
          </w:p>
        </w:tc>
        <w:tc>
          <w:tcPr>
            <w:tcW w:type="dxa" w:w="24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$12.34 million</w:t>
            </w:r>
          </w:p>
        </w:tc>
      </w:tr>
    </w:tbl>
    <w:p>
      <w:pPr>
        <w:pStyle w:val="Heading2"/>
        <w:spacing w:after="140" w:before="320"/>
      </w:pPr>
      <w:r>
        <w:rPr>
          <w:rFonts w:ascii="Calibri" w:cs="Calibri" w:eastAsia="Calibri" w:hAnsi="Calibri"/>
          <w:b/>
          <w:bCs/>
          <w:color w:val="2E75B6"/>
          <w:sz w:val="26"/>
          <w:szCs w:val="26"/>
        </w:rPr>
        <w:t xml:space="preserve">5.4 Balance Movement (Month-over-Month)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200"/>
      </w:tblGrid>
      <w:tr>
        <w:trPr>
          <w:tblHeader/>
        </w:trPr>
        <w:tc>
          <w:tcPr>
            <w:tcW w:type="dxa" w:w="32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Balance Movement</w:t>
            </w:r>
          </w:p>
        </w:tc>
        <w:tc>
          <w:tcPr>
            <w:tcW w:type="dxa" w:w="28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Number of Customers</w:t>
            </w:r>
          </w:p>
        </w:tc>
        <w:tc>
          <w:tcPr>
            <w:tcW w:type="dxa" w:w="32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Combined Change</w:t>
            </w:r>
          </w:p>
        </w:tc>
      </w:tr>
      <w:tr>
        <w:tc>
          <w:tcPr>
            <w:tcW w:type="dxa" w:w="32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Balance increased</w:t>
            </w:r>
          </w:p>
        </w:tc>
        <w:tc>
          <w:tcPr>
            <w:tcW w:type="dxa" w:w="28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11,286</w:t>
            </w:r>
          </w:p>
        </w:tc>
        <w:tc>
          <w:tcPr>
            <w:tcW w:type="dxa" w:w="32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+$28.54 million</w:t>
            </w:r>
          </w:p>
        </w:tc>
      </w:tr>
      <w:tr>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Balance decreased</w:t>
            </w:r>
          </w:p>
        </w:tc>
        <w:tc>
          <w:tcPr>
            <w:tcW w:type="dxa" w:w="28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13,015</w:t>
            </w:r>
          </w:p>
        </w:tc>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−$29.79 million (largest single decrease: $879,984.92)</w:t>
            </w:r>
          </w:p>
        </w:tc>
      </w:tr>
      <w:tr>
        <w:tc>
          <w:tcPr>
            <w:tcW w:type="dxa" w:w="32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No recorded last transaction</w:t>
            </w:r>
          </w:p>
        </w:tc>
        <w:tc>
          <w:tcPr>
            <w:tcW w:type="dxa" w:w="28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3,223 (11.36% of customer base)</w:t>
            </w:r>
          </w:p>
        </w:tc>
        <w:tc>
          <w:tcPr>
            <w:tcW w:type="dxa" w:w="32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N/A — recorded as NAT in source data</w:t>
            </w:r>
          </w:p>
        </w:tc>
      </w:tr>
    </w:tbl>
    <w:p>
      <w:pPr>
        <w:spacing w:after="160" w:line="276"/>
        <w:jc w:val="left"/>
      </w:pPr>
      <w:r>
        <w:rPr>
          <w:rFonts w:ascii="Calibri" w:cs="Calibri" w:eastAsia="Calibri" w:hAnsi="Calibri"/>
          <w:b w:val="false"/>
          <w:bCs w:val="false"/>
          <w:i w:val="false"/>
          <w:iCs w:val="false"/>
          <w:color w:val="212529"/>
          <w:sz w:val="22"/>
          <w:szCs w:val="22"/>
        </w:rPr>
        <w:t xml:space="preserve">The near-even split between customers gaining and losing balance, combined with a slightly larger cohort and dollar volume on the decline side, is consistent with the portfolio's modest net contraction in average balance noted in Section 3.3.</w:t>
      </w:r>
    </w:p>
    <w:p>
      <w:pPr>
        <w:pStyle w:val="Heading2"/>
        <w:spacing w:after="140" w:before="320"/>
      </w:pPr>
      <w:r>
        <w:rPr>
          <w:rFonts w:ascii="Calibri" w:cs="Calibri" w:eastAsia="Calibri" w:hAnsi="Calibri"/>
          <w:b/>
          <w:bCs/>
          <w:color w:val="2E75B6"/>
          <w:sz w:val="26"/>
          <w:szCs w:val="26"/>
        </w:rPr>
        <w:t xml:space="preserve">5.5 Average Balance by Gender &amp; Age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0"/>
        <w:gridCol w:w="3200"/>
      </w:tblGrid>
      <w:tr>
        <w:trPr>
          <w:tblHeader/>
        </w:trPr>
        <w:tc>
          <w:tcPr>
            <w:tcW w:type="dxa" w:w="60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Segment</w:t>
            </w:r>
          </w:p>
        </w:tc>
        <w:tc>
          <w:tcPr>
            <w:tcW w:type="dxa" w:w="32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Average Balance</w:t>
            </w:r>
          </w:p>
        </w:tc>
      </w:tr>
      <w:tr>
        <w:tc>
          <w:tcPr>
            <w:tcW w:type="dxa" w:w="60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Male customers</w:t>
            </w:r>
          </w:p>
        </w:tc>
        <w:tc>
          <w:tcPr>
            <w:tcW w:type="dxa" w:w="32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$7,280.80</w:t>
            </w:r>
          </w:p>
        </w:tc>
      </w:tr>
      <w:tr>
        <w:tc>
          <w:tcPr>
            <w:tcW w:type="dxa" w:w="6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Female customers</w:t>
            </w:r>
          </w:p>
        </w:tc>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$6,447.78</w:t>
            </w:r>
          </w:p>
        </w:tc>
      </w:tr>
      <w:tr>
        <w:tc>
          <w:tcPr>
            <w:tcW w:type="dxa" w:w="60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Age 86+ (highest of any age group)</w:t>
            </w:r>
          </w:p>
        </w:tc>
        <w:tc>
          <w:tcPr>
            <w:tcW w:type="dxa" w:w="32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$23,549.22</w:t>
            </w:r>
          </w:p>
        </w:tc>
      </w:tr>
      <w:tr>
        <w:tc>
          <w:tcPr>
            <w:tcW w:type="dxa" w:w="6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Age 18–25 (lowest of any age group)</w:t>
            </w:r>
          </w:p>
        </w:tc>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$4,521.19</w:t>
            </w:r>
          </w:p>
        </w:tc>
      </w:tr>
    </w:tbl>
    <w:p>
      <w:pPr>
        <w:spacing w:after="160" w:line="276"/>
        <w:jc w:val="left"/>
      </w:pPr>
      <w:r>
        <w:rPr>
          <w:rFonts w:ascii="Calibri" w:cs="Calibri" w:eastAsia="Calibri" w:hAnsi="Calibri"/>
          <w:b w:val="false"/>
          <w:bCs w:val="false"/>
          <w:i w:val="false"/>
          <w:iCs w:val="false"/>
          <w:color w:val="212529"/>
          <w:sz w:val="22"/>
          <w:szCs w:val="22"/>
        </w:rPr>
        <w:t xml:space="preserve">Blank/unknown gender records were excluded from the gender comparison. The wide gap across age groups — roughly a 5x difference between the oldest and youngest cohorts — likely reflects longer wealth accumulation among older customers rather than a behavioral difference alone.</w:t>
      </w:r>
    </w:p>
    <w:p>
      <w:pPr>
        <w:pStyle w:val="Heading2"/>
        <w:spacing w:after="140" w:before="320"/>
      </w:pPr>
      <w:r>
        <w:rPr>
          <w:rFonts w:ascii="Calibri" w:cs="Calibri" w:eastAsia="Calibri" w:hAnsi="Calibri"/>
          <w:b/>
          <w:bCs/>
          <w:color w:val="2E75B6"/>
          <w:sz w:val="26"/>
          <w:szCs w:val="26"/>
        </w:rPr>
        <w:t xml:space="preserve">5.6 Regional Credit &amp; Debit Patterns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000"/>
        <w:gridCol w:w="2200"/>
      </w:tblGrid>
      <w:tr>
        <w:trPr>
          <w:tblHeader/>
        </w:trPr>
        <w:tc>
          <w:tcPr>
            <w:tcW w:type="dxa" w:w="32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Metric</w:t>
            </w:r>
          </w:p>
        </w:tc>
        <w:tc>
          <w:tcPr>
            <w:tcW w:type="dxa" w:w="18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Top City</w:t>
            </w:r>
          </w:p>
        </w:tc>
        <w:tc>
          <w:tcPr>
            <w:tcW w:type="dxa" w:w="20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Value</w:t>
            </w:r>
          </w:p>
        </w:tc>
        <w:tc>
          <w:tcPr>
            <w:tcW w:type="dxa" w:w="2200"/>
            <w:shd w:fill="1F3864"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Second-Ranked City</w:t>
            </w:r>
          </w:p>
        </w:tc>
      </w:tr>
      <w:tr>
        <w:tc>
          <w:tcPr>
            <w:tcW w:type="dxa" w:w="32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Average monthly credit per customer</w:t>
            </w:r>
          </w:p>
        </w:tc>
        <w:tc>
          <w:tcPr>
            <w:tcW w:type="dxa" w:w="18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City 105</w:t>
            </w:r>
          </w:p>
        </w:tc>
        <w:tc>
          <w:tcPr>
            <w:tcW w:type="dxa" w:w="20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$216,396.14</w:t>
            </w:r>
          </w:p>
        </w:tc>
        <w:tc>
          <w:tcPr>
            <w:tcW w:type="dxa" w:w="2200"/>
            <w:shd w:fill="EEF3F9"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City 1591 ($74,000.07)</w:t>
            </w:r>
          </w:p>
        </w:tc>
      </w:tr>
      <w:tr>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Average monthly debit per customer</w:t>
            </w:r>
          </w:p>
        </w:tc>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City 567</w:t>
            </w:r>
          </w:p>
        </w:tc>
        <w:tc>
          <w:tcPr>
            <w:tcW w:type="dxa" w:w="2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$268,216.99</w:t>
            </w:r>
          </w:p>
        </w:tc>
        <w:tc>
          <w:tcPr>
            <w:tcW w:type="dxa" w:w="2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212529"/>
                <w:sz w:val="20"/>
                <w:szCs w:val="20"/>
              </w:rPr>
              <w:t xml:space="preserve">City 105 ($141,428.59)</w:t>
            </w:r>
          </w:p>
        </w:tc>
      </w:tr>
    </w:tbl>
    <w:p>
      <w:pPr>
        <w:spacing w:after="160" w:line="276"/>
        <w:jc w:val="left"/>
      </w:pPr>
      <w:r>
        <w:rPr>
          <w:rFonts w:ascii="Calibri" w:cs="Calibri" w:eastAsia="Calibri" w:hAnsi="Calibri"/>
          <w:b w:val="false"/>
          <w:bCs w:val="false"/>
          <w:i w:val="false"/>
          <w:iCs w:val="false"/>
          <w:color w:val="212529"/>
          <w:sz w:val="22"/>
          <w:szCs w:val="22"/>
        </w:rPr>
        <w:t xml:space="preserve">City 105 appears prominently in both rankings — highest average credit and second-highest average debit — suggesting unusually high transaction velocity among its customers rather than simple balance accumulation.</w:t>
      </w:r>
    </w:p>
    <w:p>
      <w:pPr>
        <w:pStyle w:val="Heading1"/>
        <w:pBdr>
          <w:bottom w:val="single" w:color="2E75B6" w:sz="8" w:space="4"/>
        </w:pBdr>
        <w:spacing w:after="200" w:before="480"/>
      </w:pPr>
      <w:r>
        <w:rPr>
          <w:rFonts w:ascii="Calibri" w:cs="Calibri" w:eastAsia="Calibri" w:hAnsi="Calibri"/>
          <w:b/>
          <w:bCs/>
          <w:color w:val="1F3864"/>
          <w:sz w:val="32"/>
          <w:szCs w:val="32"/>
        </w:rPr>
        <w:t xml:space="preserve">6. Key Insights</w:t>
      </w:r>
    </w:p>
    <w:p>
      <w:pPr>
        <w:pStyle w:val="ListParagraph"/>
        <w:numPr>
          <w:ilvl w:val="0"/>
          <w:numId w:val="2"/>
        </w:numPr>
        <w:spacing w:after="110"/>
      </w:pPr>
      <w:r>
        <w:rPr>
          <w:rFonts w:ascii="Calibri" w:cs="Calibri" w:eastAsia="Calibri" w:hAnsi="Calibri"/>
          <w:b/>
          <w:bCs/>
          <w:color w:val="1F3864"/>
          <w:sz w:val="22"/>
          <w:szCs w:val="22"/>
        </w:rPr>
        <w:t xml:space="preserve">Self-employed customers are the highest-risk segment: </w:t>
      </w:r>
      <w:r>
        <w:rPr>
          <w:rFonts w:ascii="Calibri" w:cs="Calibri" w:eastAsia="Calibri" w:hAnsi="Calibri"/>
          <w:color w:val="212529"/>
          <w:sz w:val="22"/>
          <w:szCs w:val="22"/>
        </w:rPr>
        <w:t xml:space="preserve">they represent both the largest occupation group and the highest churn rate (19.84%), making them the single largest contributor to overall attrition.</w:t>
      </w:r>
    </w:p>
    <w:p>
      <w:pPr>
        <w:pStyle w:val="ListParagraph"/>
        <w:numPr>
          <w:ilvl w:val="0"/>
          <w:numId w:val="2"/>
        </w:numPr>
        <w:spacing w:after="110"/>
      </w:pPr>
      <w:r>
        <w:rPr>
          <w:rFonts w:ascii="Calibri" w:cs="Calibri" w:eastAsia="Calibri" w:hAnsi="Calibri"/>
          <w:b/>
          <w:bCs/>
          <w:color w:val="1F3864"/>
          <w:sz w:val="22"/>
          <w:szCs w:val="22"/>
        </w:rPr>
        <w:t xml:space="preserve">Balance level is a leading indicator of churn: </w:t>
      </w:r>
      <w:r>
        <w:rPr>
          <w:rFonts w:ascii="Calibri" w:cs="Calibri" w:eastAsia="Calibri" w:hAnsi="Calibri"/>
          <w:color w:val="212529"/>
          <w:sz w:val="22"/>
          <w:szCs w:val="22"/>
        </w:rPr>
        <w:t xml:space="preserve">retained customers carry, on average, over $2,650 more than churned customers, suggesting declining balances could serve as an early-warning signal.</w:t>
      </w:r>
    </w:p>
    <w:p>
      <w:pPr>
        <w:pStyle w:val="ListParagraph"/>
        <w:numPr>
          <w:ilvl w:val="0"/>
          <w:numId w:val="2"/>
        </w:numPr>
        <w:spacing w:after="110"/>
      </w:pPr>
      <w:r>
        <w:rPr>
          <w:rFonts w:ascii="Calibri" w:cs="Calibri" w:eastAsia="Calibri" w:hAnsi="Calibri"/>
          <w:b/>
          <w:bCs/>
          <w:color w:val="1F3864"/>
          <w:sz w:val="22"/>
          <w:szCs w:val="22"/>
        </w:rPr>
        <w:t xml:space="preserve">Churn is concentrated in specific branches: </w:t>
      </w:r>
      <w:r>
        <w:rPr>
          <w:rFonts w:ascii="Calibri" w:cs="Calibri" w:eastAsia="Calibri" w:hAnsi="Calibri"/>
          <w:color w:val="212529"/>
          <w:sz w:val="22"/>
          <w:szCs w:val="22"/>
        </w:rPr>
        <w:t xml:space="preserve">Branches 79, 47, and 6 all show churn rates above 24%, well above the portfolio average, and warrant targeted review of local service quality or competitive pressure.</w:t>
      </w:r>
    </w:p>
    <w:p>
      <w:pPr>
        <w:pStyle w:val="ListParagraph"/>
        <w:numPr>
          <w:ilvl w:val="0"/>
          <w:numId w:val="2"/>
        </w:numPr>
        <w:spacing w:after="110"/>
      </w:pPr>
      <w:r>
        <w:rPr>
          <w:rFonts w:ascii="Calibri" w:cs="Calibri" w:eastAsia="Calibri" w:hAnsi="Calibri"/>
          <w:b/>
          <w:bCs/>
          <w:color w:val="1F3864"/>
          <w:sz w:val="22"/>
          <w:szCs w:val="22"/>
        </w:rPr>
        <w:t xml:space="preserve">Younger, early-career customers churn more: </w:t>
      </w:r>
      <w:r>
        <w:rPr>
          <w:rFonts w:ascii="Calibri" w:cs="Calibri" w:eastAsia="Calibri" w:hAnsi="Calibri"/>
          <w:color w:val="212529"/>
          <w:sz w:val="22"/>
          <w:szCs w:val="22"/>
        </w:rPr>
        <w:t xml:space="preserve">the 26–35 age group shows the highest churn rate, while balance data shows the 18–25 group holds the lowest average balances — pointing to a broader engagement gap with younger customers.</w:t>
      </w:r>
    </w:p>
    <w:p>
      <w:pPr>
        <w:pStyle w:val="ListParagraph"/>
        <w:numPr>
          <w:ilvl w:val="0"/>
          <w:numId w:val="2"/>
        </w:numPr>
        <w:spacing w:after="110"/>
      </w:pPr>
      <w:r>
        <w:rPr>
          <w:rFonts w:ascii="Calibri" w:cs="Calibri" w:eastAsia="Calibri" w:hAnsi="Calibri"/>
          <w:b/>
          <w:bCs/>
          <w:color w:val="1F3864"/>
          <w:sz w:val="22"/>
          <w:szCs w:val="22"/>
        </w:rPr>
        <w:t xml:space="preserve">High totals can mask concentration risk: </w:t>
      </w:r>
      <w:r>
        <w:rPr>
          <w:rFonts w:ascii="Calibri" w:cs="Calibri" w:eastAsia="Calibri" w:hAnsi="Calibri"/>
          <w:color w:val="212529"/>
          <w:sz w:val="22"/>
          <w:szCs w:val="22"/>
        </w:rPr>
        <w:t xml:space="preserve">both the top branch by balance (Branch 2542) and the top occupation-balance category (“unknown”) are driven by a small number of accounts, not broad-based strength.</w:t>
      </w:r>
    </w:p>
    <w:p>
      <w:pPr>
        <w:pStyle w:val="ListParagraph"/>
        <w:numPr>
          <w:ilvl w:val="0"/>
          <w:numId w:val="2"/>
        </w:numPr>
        <w:spacing w:after="110"/>
      </w:pPr>
      <w:r>
        <w:rPr>
          <w:rFonts w:ascii="Calibri" w:cs="Calibri" w:eastAsia="Calibri" w:hAnsi="Calibri"/>
          <w:b/>
          <w:bCs/>
          <w:color w:val="1F3864"/>
          <w:sz w:val="22"/>
          <w:szCs w:val="22"/>
        </w:rPr>
        <w:t xml:space="preserve">Transaction activity is rising faster than balances: </w:t>
      </w:r>
      <w:r>
        <w:rPr>
          <w:rFonts w:ascii="Calibri" w:cs="Calibri" w:eastAsia="Calibri" w:hAnsi="Calibri"/>
          <w:color w:val="212529"/>
          <w:sz w:val="22"/>
          <w:szCs w:val="22"/>
        </w:rPr>
        <w:t xml:space="preserve">current-month credits and debits both increased over the prior month, while average balance slightly declined — indicating more active, but not necessarily more profitable, account usage.</w:t>
      </w:r>
    </w:p>
    <w:p>
      <w:pPr>
        <w:pStyle w:val="Heading1"/>
        <w:pBdr>
          <w:bottom w:val="single" w:color="2E75B6" w:sz="8" w:space="4"/>
        </w:pBdr>
        <w:spacing w:after="200" w:before="480"/>
      </w:pPr>
      <w:r>
        <w:rPr>
          <w:rFonts w:ascii="Calibri" w:cs="Calibri" w:eastAsia="Calibri" w:hAnsi="Calibri"/>
          <w:b/>
          <w:bCs/>
          <w:color w:val="1F3864"/>
          <w:sz w:val="32"/>
          <w:szCs w:val="32"/>
        </w:rPr>
        <w:t xml:space="preserve">7. Recommendations</w:t>
      </w:r>
    </w:p>
    <w:p>
      <w:pPr>
        <w:pStyle w:val="ListParagraph"/>
        <w:numPr>
          <w:ilvl w:val="0"/>
          <w:numId w:val="2"/>
        </w:numPr>
        <w:spacing w:after="100"/>
      </w:pPr>
      <w:r>
        <w:rPr>
          <w:rFonts w:ascii="Calibri" w:cs="Calibri" w:eastAsia="Calibri" w:hAnsi="Calibri"/>
          <w:b w:val="false"/>
          <w:bCs w:val="false"/>
          <w:color w:val="212529"/>
          <w:sz w:val="22"/>
          <w:szCs w:val="22"/>
        </w:rPr>
        <w:t xml:space="preserve">Build a churn early-warning model using balance trend, occupation, age, and branch as key features, given their demonstrated predictive relationship with attrition in this analysis.</w:t>
      </w:r>
    </w:p>
    <w:p>
      <w:pPr>
        <w:pStyle w:val="ListParagraph"/>
        <w:numPr>
          <w:ilvl w:val="0"/>
          <w:numId w:val="2"/>
        </w:numPr>
        <w:spacing w:after="100"/>
      </w:pPr>
      <w:r>
        <w:rPr>
          <w:rFonts w:ascii="Calibri" w:cs="Calibri" w:eastAsia="Calibri" w:hAnsi="Calibri"/>
          <w:b w:val="false"/>
          <w:bCs w:val="false"/>
          <w:color w:val="212529"/>
          <w:sz w:val="22"/>
          <w:szCs w:val="22"/>
        </w:rPr>
        <w:t xml:space="preserve">Prioritize retention outreach to self-employed customers and the 26–35 age cohort, given their outsized share of churn volume and rate.</w:t>
      </w:r>
    </w:p>
    <w:p>
      <w:pPr>
        <w:pStyle w:val="ListParagraph"/>
        <w:numPr>
          <w:ilvl w:val="0"/>
          <w:numId w:val="2"/>
        </w:numPr>
        <w:spacing w:after="100"/>
      </w:pPr>
      <w:r>
        <w:rPr>
          <w:rFonts w:ascii="Calibri" w:cs="Calibri" w:eastAsia="Calibri" w:hAnsi="Calibri"/>
          <w:b w:val="false"/>
          <w:bCs w:val="false"/>
          <w:color w:val="212529"/>
          <w:sz w:val="22"/>
          <w:szCs w:val="22"/>
        </w:rPr>
        <w:t xml:space="preserve">Conduct a root-cause review of Branches 79, 47, and 6, including service quality, staffing, and local competitive factors, given churn rates nearly 1.5x the portfolio average.</w:t>
      </w:r>
    </w:p>
    <w:p>
      <w:pPr>
        <w:pStyle w:val="ListParagraph"/>
        <w:numPr>
          <w:ilvl w:val="0"/>
          <w:numId w:val="2"/>
        </w:numPr>
        <w:spacing w:after="100"/>
      </w:pPr>
      <w:r>
        <w:rPr>
          <w:rFonts w:ascii="Calibri" w:cs="Calibri" w:eastAsia="Calibri" w:hAnsi="Calibri"/>
          <w:b w:val="false"/>
          <w:bCs w:val="false"/>
          <w:color w:val="212529"/>
          <w:sz w:val="22"/>
          <w:szCs w:val="22"/>
        </w:rPr>
        <w:t xml:space="preserve">Validate city-level churn using a rate (not just volume) metric, since City 1020's high churn count may simply reflect its large customer base rather than elevated risk.</w:t>
      </w:r>
    </w:p>
    <w:p>
      <w:pPr>
        <w:pStyle w:val="ListParagraph"/>
        <w:numPr>
          <w:ilvl w:val="0"/>
          <w:numId w:val="2"/>
        </w:numPr>
        <w:spacing w:after="100"/>
      </w:pPr>
      <w:r>
        <w:rPr>
          <w:rFonts w:ascii="Calibri" w:cs="Calibri" w:eastAsia="Calibri" w:hAnsi="Calibri"/>
          <w:b w:val="false"/>
          <w:bCs w:val="false"/>
          <w:color w:val="212529"/>
          <w:sz w:val="22"/>
          <w:szCs w:val="22"/>
        </w:rPr>
        <w:t xml:space="preserve">Design engagement offers for the 18–25 age segment, whose low average balances suggest an opportunity to deepen the relationship early in the customer lifecycle.</w:t>
      </w:r>
    </w:p>
    <w:p>
      <w:pPr>
        <w:pStyle w:val="ListParagraph"/>
        <w:numPr>
          <w:ilvl w:val="0"/>
          <w:numId w:val="2"/>
        </w:numPr>
        <w:spacing w:after="100"/>
      </w:pPr>
      <w:r>
        <w:rPr>
          <w:rFonts w:ascii="Calibri" w:cs="Calibri" w:eastAsia="Calibri" w:hAnsi="Calibri"/>
          <w:b w:val="false"/>
          <w:bCs w:val="false"/>
          <w:color w:val="212529"/>
          <w:sz w:val="22"/>
          <w:szCs w:val="22"/>
        </w:rPr>
        <w:t xml:space="preserve">Monitor the “no last transaction” segment (3,223 customers, 11.4% of the base) as a distinct dormant-account risk pool separate from standard churn.</w:t>
      </w:r>
    </w:p>
    <w:p>
      <w:pPr>
        <w:pStyle w:val="Heading1"/>
        <w:pBdr>
          <w:bottom w:val="single" w:color="2E75B6" w:sz="8" w:space="4"/>
        </w:pBdr>
        <w:spacing w:after="200" w:before="480"/>
      </w:pPr>
      <w:r>
        <w:rPr>
          <w:rFonts w:ascii="Calibri" w:cs="Calibri" w:eastAsia="Calibri" w:hAnsi="Calibri"/>
          <w:b/>
          <w:bCs/>
          <w:color w:val="1F3864"/>
          <w:sz w:val="32"/>
          <w:szCs w:val="32"/>
        </w:rPr>
        <w:t xml:space="preserve">8. Conclusion</w:t>
      </w:r>
    </w:p>
    <w:p>
      <w:pPr>
        <w:spacing w:after="160" w:line="276"/>
        <w:jc w:val="left"/>
      </w:pPr>
      <w:r>
        <w:rPr>
          <w:rFonts w:ascii="Calibri" w:cs="Calibri" w:eastAsia="Calibri" w:hAnsi="Calibri"/>
          <w:b w:val="false"/>
          <w:bCs w:val="false"/>
          <w:i w:val="false"/>
          <w:iCs w:val="false"/>
          <w:color w:val="212529"/>
          <w:sz w:val="22"/>
          <w:szCs w:val="22"/>
        </w:rPr>
        <w:t xml:space="preserve">This analysis shows that churn in this portfolio is not evenly distributed — it is concentrated among self-employed customers, younger age cohorts, and a small number of underperforming branches, and it is closely tied to declining account balances. These patterns provide a clear, data-backed starting point for retention strategy: prioritizing the segments and branches identified here should yield a disproportionate reduction in overall churn relative to a one-size-fits-all retention approach.</w:t>
      </w:r>
    </w:p>
    <w:p>
      <w:pPr>
        <w:spacing w:after="0" w:line="276"/>
        <w:jc w:val="left"/>
      </w:pPr>
      <w:r>
        <w:rPr>
          <w:rFonts w:ascii="Calibri" w:cs="Calibri" w:eastAsia="Calibri" w:hAnsi="Calibri"/>
          <w:b w:val="false"/>
          <w:bCs w:val="false"/>
          <w:i w:val="false"/>
          <w:iCs w:val="false"/>
          <w:color w:val="212529"/>
          <w:sz w:val="22"/>
          <w:szCs w:val="22"/>
        </w:rPr>
        <w:t xml:space="preserve">Future analysis would benefit from time-series churn tracking (to distinguish rate from volume effects, as seen in the City 1020 case) and from incorporating transaction-frequency data to complement the balance-based indicators used here.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rFonts w:ascii="Calibri" w:cs="Calibri" w:eastAsia="Calibri" w:hAnsi="Calibri"/>
        <w:color w:val="595959"/>
        <w:sz w:val="16"/>
        <w:szCs w:val="16"/>
      </w:rPr>
      <w:t xml:space="preserve">Customer Churn Analysis Report</w:t>
    </w:r>
    <w:r>
      <w:rPr>
        <w:rFonts w:ascii="Calibri" w:cs="Calibri" w:eastAsia="Calibri" w:hAnsi="Calibri"/>
        <w:color w:val="595959"/>
        <w:sz w:val="16"/>
        <w:szCs w:val="16"/>
      </w:rPr>
      <w:t xml:space="preserve">	Data Analyst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52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2026-09-09T00:19:08.088Z</dcterms:created>
  <dcterms:modified xsi:type="dcterms:W3CDTF">2026-09-09T00:19:08.089Z</dcterms:modified>
</cp:coreProperties>
</file>

<file path=docProps/custom.xml><?xml version="1.0" encoding="utf-8"?>
<Properties xmlns="http://schemas.openxmlformats.org/officeDocument/2006/custom-properties" xmlns:vt="http://schemas.openxmlformats.org/officeDocument/2006/docPropsVTypes"/>
</file>