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1"/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</w:p>
    <w:p w14:paraId="02000000">
      <w:pPr>
        <w:widowControl w:val="1"/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РАЗРАБОТКА И АКТУАЛИЗАЦИЯ ОРГАНИЗАЦИОННО-ТЕХНИЧЕСКОЙ ДОКУМЕНТАЦИИ ПО ИНФОРМАЦИОННОЙ БЕЗОПАСНОСТИ В ОБРАЗОВАТЕЛЬНЫХ УЧРЕЖДЕНИЯХ: ОПЫТ УНИВЕРСИТЕТА</w:t>
      </w:r>
    </w:p>
    <w:p w14:paraId="03000000">
      <w:pPr>
        <w:widowControl w:val="1"/>
        <w:spacing w:after="0" w:line="240" w:lineRule="auto"/>
        <w:ind/>
        <w:jc w:val="center"/>
        <w:rPr>
          <w:rFonts w:ascii="Times New Roman" w:hAnsi="Times New Roman"/>
          <w:sz w:val="24"/>
        </w:rPr>
      </w:pPr>
    </w:p>
    <w:p w14:paraId="04000000">
      <w:pPr>
        <w:widowControl w:val="1"/>
        <w:spacing w:after="0" w:line="240" w:lineRule="auto"/>
        <w:ind/>
        <w:jc w:val="both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 xml:space="preserve">Аннотация: Статья посвящена комплексному подходу к созданию и обновлению организационно-технической документации в сфере информационной безопасности на примере университета. В материале рассматриваются ключевые документы, такие как инструкции по работе с персональными данными, политики обработки данных, должностные инструкции для сотрудников отдела информационной безопасности, а также технические регламенты и положения о лабораториях. Особое внимание уделяется актуализации существующих документов, таких как Общая политика информационной безопасности, и внедрению новых требований, включая уведомления о сборе метаданных на сайте и инструкции по усовершенствованию веб-ресурсов. </w:t>
      </w:r>
    </w:p>
    <w:p w14:paraId="05000000">
      <w:pPr>
        <w:widowControl w:val="1"/>
        <w:spacing w:after="0" w:line="240" w:lineRule="auto"/>
        <w:ind/>
        <w:jc w:val="both"/>
        <w:rPr>
          <w:rFonts w:ascii="Times New Roman" w:hAnsi="Times New Roman"/>
          <w:i w:val="1"/>
          <w:sz w:val="24"/>
        </w:rPr>
      </w:pPr>
    </w:p>
    <w:p w14:paraId="06000000">
      <w:pPr>
        <w:widowControl w:val="1"/>
        <w:spacing w:after="0" w:line="240" w:lineRule="auto"/>
        <w:ind/>
        <w:jc w:val="both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Ключевые слова: организационно-техническая документация, информационная безопасность, образовательные учреждения.</w:t>
      </w:r>
    </w:p>
    <w:p w14:paraId="07000000">
      <w:pPr>
        <w:widowControl w:val="1"/>
        <w:spacing w:after="0" w:line="240" w:lineRule="auto"/>
        <w:ind/>
        <w:jc w:val="both"/>
        <w:rPr>
          <w:rFonts w:ascii="Times New Roman" w:hAnsi="Times New Roman"/>
          <w:sz w:val="24"/>
        </w:rPr>
      </w:pPr>
    </w:p>
    <w:p w14:paraId="08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Организация деятельности по защите информации (ЗИ) включает комплекс мер, направленных на обеспечение безопасности данных и информационных систем. </w:t>
      </w:r>
    </w:p>
    <w:p w14:paraId="09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</w:p>
    <w:p w14:paraId="0A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первом этапе разрабатывается и утверждается политика защиты информации, которая определяет основные принципы, цели и задачи в этой области. Важным шагом является назначение лиц, ответственных за защиту информации, что позволяет четко распределить обязанности и обеспечить контроль за выполнением требований. Для реализации защитных мер применяются специализированные программные и программно-аппаратные средства, предназначенные для предотвращения угроз и минимизации рисков. Следующим этапом становится выделение необходимых организационных, технических и иных ресурсов, обеспечивающих эффективное функционирование системы защиты информации. Параллельно разрабатываются внутренние стандарты и регламенты, которые регламентируют процессы обработки, хранения и передачи информации.</w:t>
      </w:r>
    </w:p>
    <w:p w14:paraId="0B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причине того, что в стандартах описываются требования по реализации мер ЗИ, а в регламентах – прядок их реализации, то для эффективной организации ЗИ важно, чтобы стандарты и регламенты были максимально приближены к исполнителям и понятны для их применения.</w:t>
      </w:r>
    </w:p>
    <w:p w14:paraId="0C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внутренним стандартам организации относятся нормативные требования, правила и критерии, которые устанавливают единые подходы к выполнению задач, обеспечению качества и безопасности процессов. Эти стандарты определяют, что должно быть сделано, и задают четкие ориентиры для сотрудников. В то же время регламенты описывают порядок, последовательность и методику выполнения этих требований, то есть как именно должны выполняться процессы. Регламенты детализируют шаги, сроки, ответственных лиц и взаимодействие между подразделениями, обеспечивая согласованность и эффективность работы. Примеры внутренних стандартов и регламентов представлены в таблице 1.</w:t>
      </w:r>
    </w:p>
    <w:p w14:paraId="0D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</w:p>
    <w:p w14:paraId="0E000000">
      <w:pPr>
        <w:keepNext w:val="1"/>
        <w:widowControl w:val="1"/>
        <w:spacing w:after="0" w:line="240" w:lineRule="auto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</w:t>
      </w:r>
      <w:r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Примеры внутренних стандартов и регламентов</w:t>
      </w:r>
    </w:p>
    <w:tbl>
      <w:tblPr>
        <w:tblStyle w:val="Style_1"/>
        <w:tblW w:type="auto" w:w="0"/>
        <w:tblLayout w:type="fixed"/>
      </w:tblPr>
      <w:tblGrid>
        <w:gridCol w:w="1697"/>
        <w:gridCol w:w="7658"/>
      </w:tblGrid>
      <w:tr>
        <w:tc>
          <w:tcPr>
            <w:tcW w:type="dxa" w:w="1697"/>
            <w:vMerge w:val="restart"/>
          </w:tcPr>
          <w:p w14:paraId="0F000000">
            <w:pPr>
              <w:widowControl w:val="1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Внутренние стандарты</w:t>
            </w:r>
          </w:p>
        </w:tc>
        <w:tc>
          <w:tcPr>
            <w:tcW w:type="dxa" w:w="7658"/>
          </w:tcPr>
          <w:p w14:paraId="10000000">
            <w:pPr>
              <w:widowControl w:val="1"/>
              <w:ind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>
              <w:rPr>
                <w:rFonts w:ascii="Times New Roman" w:hAnsi="Times New Roman"/>
                <w:sz w:val="24"/>
              </w:rPr>
              <w:t>Требования к обновлению программного обеспечения</w:t>
            </w:r>
          </w:p>
        </w:tc>
      </w:tr>
      <w:tr>
        <w:tc>
          <w:tcPr>
            <w:tcW w:type="dxa" w:w="1697"/>
            <w:gridSpan w:val="1"/>
            <w:vMerge w:val="continue"/>
          </w:tcPr>
          <w:p/>
        </w:tc>
        <w:tc>
          <w:tcPr>
            <w:tcW w:type="dxa" w:w="7658"/>
          </w:tcPr>
          <w:p w14:paraId="11000000">
            <w:pPr>
              <w:widowControl w:val="1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Требования к созданию и использованию учетных записей (парольная политика, многофакторная аутентификация).</w:t>
            </w:r>
          </w:p>
        </w:tc>
      </w:tr>
      <w:tr>
        <w:tc>
          <w:tcPr>
            <w:tcW w:type="dxa" w:w="1697"/>
            <w:gridSpan w:val="1"/>
            <w:vMerge w:val="continue"/>
          </w:tcPr>
          <w:p/>
        </w:tc>
        <w:tc>
          <w:tcPr>
            <w:tcW w:type="dxa" w:w="7658"/>
          </w:tcPr>
          <w:p w14:paraId="12000000">
            <w:pPr>
              <w:widowControl w:val="1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Перечень разрешенного и запрещенного ПО.</w:t>
            </w:r>
          </w:p>
        </w:tc>
      </w:tr>
      <w:tr>
        <w:trPr>
          <w:trHeight w:hRule="atLeast" w:val="433"/>
        </w:trPr>
        <w:tc>
          <w:tcPr>
            <w:tcW w:type="dxa" w:w="1697"/>
            <w:vMerge w:val="restart"/>
          </w:tcPr>
          <w:p w14:paraId="13000000">
            <w:pPr>
              <w:widowControl w:val="1"/>
              <w:ind/>
              <w:jc w:val="both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Внутренние регламенты</w:t>
            </w:r>
          </w:p>
        </w:tc>
        <w:tc>
          <w:tcPr>
            <w:tcW w:type="dxa" w:w="7658"/>
            <w:tcBorders>
              <w:bottom w:color="000000" w:sz="4" w:val="single"/>
            </w:tcBorders>
          </w:tcPr>
          <w:p w14:paraId="14000000">
            <w:pPr>
              <w:widowControl w:val="1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Порядок повышения уровня знаний и информированности пользователей по вопросам защиты информации</w:t>
            </w:r>
          </w:p>
        </w:tc>
      </w:tr>
      <w:tr>
        <w:tc>
          <w:tcPr>
            <w:tcW w:type="dxa" w:w="1697"/>
            <w:gridSpan w:val="1"/>
            <w:vMerge w:val="continue"/>
          </w:tcPr>
          <w:p/>
        </w:tc>
        <w:tc>
          <w:tcPr>
            <w:tcW w:type="dxa" w:w="7658"/>
          </w:tcPr>
          <w:p w14:paraId="15000000">
            <w:pPr>
              <w:widowControl w:val="1"/>
              <w:ind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>
              <w:rPr>
                <w:rFonts w:ascii="Times New Roman" w:hAnsi="Times New Roman"/>
                <w:sz w:val="24"/>
              </w:rPr>
              <w:t>Регламент управления учетными записями</w:t>
            </w:r>
          </w:p>
        </w:tc>
      </w:tr>
      <w:tr>
        <w:tc>
          <w:tcPr>
            <w:tcW w:type="dxa" w:w="1697"/>
            <w:gridSpan w:val="1"/>
            <w:vMerge w:val="continue"/>
          </w:tcPr>
          <w:p/>
        </w:tc>
        <w:tc>
          <w:tcPr>
            <w:tcW w:type="dxa" w:w="7658"/>
          </w:tcPr>
          <w:p w14:paraId="16000000">
            <w:pPr>
              <w:widowControl w:val="1"/>
              <w:ind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>
              <w:rPr>
                <w:rFonts w:ascii="Times New Roman" w:hAnsi="Times New Roman"/>
                <w:sz w:val="24"/>
              </w:rPr>
              <w:t>Порядок тестирования знаний по вопросам информационной безопасности.</w:t>
            </w:r>
          </w:p>
        </w:tc>
      </w:tr>
      <w:tr>
        <w:tc>
          <w:tcPr>
            <w:tcW w:type="dxa" w:w="1697"/>
            <w:gridSpan w:val="1"/>
            <w:vMerge w:val="continue"/>
          </w:tcPr>
          <w:p/>
        </w:tc>
        <w:tc>
          <w:tcPr>
            <w:tcW w:type="dxa" w:w="7658"/>
          </w:tcPr>
          <w:p w14:paraId="17000000">
            <w:pPr>
              <w:widowControl w:val="1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</w:t>
            </w:r>
            <w:r>
              <w:rPr>
                <w:rFonts w:ascii="Times New Roman" w:hAnsi="Times New Roman"/>
                <w:sz w:val="24"/>
              </w:rPr>
              <w:t>егламенты передачи данных</w:t>
            </w:r>
          </w:p>
        </w:tc>
      </w:tr>
    </w:tbl>
    <w:p w14:paraId="18000000">
      <w:pPr>
        <w:widowControl w:val="1"/>
        <w:spacing w:after="0" w:line="240" w:lineRule="auto"/>
        <w:ind/>
        <w:jc w:val="both"/>
        <w:rPr>
          <w:rFonts w:ascii="Times New Roman" w:hAnsi="Times New Roman"/>
          <w:sz w:val="24"/>
        </w:rPr>
      </w:pPr>
    </w:p>
    <w:p w14:paraId="19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Информационная безопасность (ИБ) является одной из ключевых задач для образовательных учреждений, особенно в условиях цифровой трансформации. </w:t>
      </w:r>
    </w:p>
    <w:p w14:paraId="1A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Так как Университеты сталкиваются с необходимостью защиты персональных данных студентов, сотрудников, научных разработок и других конфиденциальных сведений, на сегодняшний день в университете ведется активная работа по совершенствованию системы организационно-технической документации в области ИБ. </w:t>
      </w:r>
    </w:p>
    <w:p w14:paraId="1B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</w:p>
    <w:p w14:paraId="1C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случае наличия у университета филиалов в других городах необходимо учитывать особенности передачи конфиденциальной информации по телекоммуникационным сетям. С точки зрения организационно-правовой ЗИ требуется </w:t>
      </w:r>
      <w:r>
        <w:rPr>
          <w:rFonts w:ascii="Times New Roman" w:hAnsi="Times New Roman"/>
          <w:sz w:val="24"/>
        </w:rPr>
        <w:t>разработать Регламент передачи данных, содержащий:</w:t>
      </w:r>
    </w:p>
    <w:p w14:paraId="1D000000">
      <w:pPr>
        <w:pStyle w:val="Style_2"/>
        <w:widowControl w:val="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условия передачи, при которых возможна передача данных (например, наличие согласия субъекта ПДн, служебная необходимость);</w:t>
      </w:r>
    </w:p>
    <w:p w14:paraId="1E000000">
      <w:pPr>
        <w:pStyle w:val="Style_2"/>
        <w:widowControl w:val="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способы передачи (электронная почта с шифрованием, защищенные каналы связи, VPN, специализированные системы обмена данными);</w:t>
      </w:r>
    </w:p>
    <w:p w14:paraId="1F000000">
      <w:pPr>
        <w:pStyle w:val="Style_2"/>
        <w:widowControl w:val="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</w:t>
      </w:r>
      <w:r>
        <w:rPr>
          <w:rFonts w:ascii="Times New Roman" w:hAnsi="Times New Roman"/>
          <w:sz w:val="24"/>
        </w:rPr>
        <w:t>орматы данных</w:t>
      </w:r>
      <w:r>
        <w:rPr>
          <w:rFonts w:ascii="Times New Roman" w:hAnsi="Times New Roman"/>
          <w:sz w:val="24"/>
        </w:rPr>
        <w:t xml:space="preserve"> с у</w:t>
      </w:r>
      <w:r>
        <w:rPr>
          <w:rFonts w:ascii="Times New Roman" w:hAnsi="Times New Roman"/>
          <w:sz w:val="24"/>
        </w:rPr>
        <w:t>казани</w:t>
      </w:r>
      <w:r>
        <w:rPr>
          <w:rFonts w:ascii="Times New Roman" w:hAnsi="Times New Roman"/>
          <w:sz w:val="24"/>
        </w:rPr>
        <w:t>ями</w:t>
      </w:r>
      <w:r>
        <w:rPr>
          <w:rFonts w:ascii="Times New Roman" w:hAnsi="Times New Roman"/>
          <w:sz w:val="24"/>
        </w:rPr>
        <w:t xml:space="preserve"> допустимых форматов передачи (например, зашифрованные файлы, электронные подписи);</w:t>
      </w:r>
    </w:p>
    <w:p w14:paraId="20000000">
      <w:pPr>
        <w:pStyle w:val="Style_2"/>
        <w:widowControl w:val="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роцедура инициирования передачи</w:t>
      </w:r>
      <w:r>
        <w:rPr>
          <w:rFonts w:ascii="Times New Roman" w:hAnsi="Times New Roman"/>
          <w:sz w:val="24"/>
        </w:rPr>
        <w:t xml:space="preserve">, содержащий </w:t>
      </w:r>
      <w:r>
        <w:rPr>
          <w:rFonts w:ascii="Times New Roman" w:hAnsi="Times New Roman"/>
          <w:sz w:val="24"/>
        </w:rPr>
        <w:t>процесс инициирования и подтверждения передачи данных (например, заявка от одного филиала, утверждение ответственным лицом).</w:t>
      </w:r>
    </w:p>
    <w:p w14:paraId="21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области финансов, в частности выплаты стипендий студентам, происходит следующий порядок передачи данных: </w:t>
      </w:r>
    </w:p>
    <w:p w14:paraId="22000000">
      <w:pPr>
        <w:pStyle w:val="Style_2"/>
        <w:widowControl w:val="1"/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Вуз формирует реестр (список) студентов с указанием всех необходимых данных</w:t>
      </w:r>
      <w:r>
        <w:rPr>
          <w:rFonts w:ascii="Times New Roman" w:hAnsi="Times New Roman"/>
          <w:sz w:val="24"/>
        </w:rPr>
        <w:t>:</w:t>
      </w:r>
    </w:p>
    <w:p w14:paraId="23000000">
      <w:pPr>
        <w:pStyle w:val="Style_2"/>
        <w:widowControl w:val="1"/>
        <w:numPr>
          <w:ilvl w:val="1"/>
          <w:numId w:val="2"/>
        </w:numPr>
        <w:spacing w:after="0" w:line="240" w:lineRule="auto"/>
        <w:ind w:left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ПДн</w:t>
      </w:r>
      <w:r>
        <w:rPr>
          <w:rFonts w:ascii="Times New Roman" w:hAnsi="Times New Roman"/>
          <w:sz w:val="24"/>
        </w:rPr>
        <w:t xml:space="preserve"> студентов — ФИО, дата рождения, ИНН, СНИЛС, паспортные данные, лицевой счет;</w:t>
      </w:r>
    </w:p>
    <w:p w14:paraId="24000000">
      <w:pPr>
        <w:pStyle w:val="Style_2"/>
        <w:widowControl w:val="1"/>
        <w:numPr>
          <w:ilvl w:val="1"/>
          <w:numId w:val="2"/>
        </w:numPr>
        <w:spacing w:after="0" w:line="240" w:lineRule="auto"/>
        <w:ind w:left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данные о статусе студента</w:t>
      </w:r>
      <w:r>
        <w:rPr>
          <w:rFonts w:ascii="Times New Roman" w:hAnsi="Times New Roman"/>
          <w:sz w:val="24"/>
        </w:rPr>
        <w:t xml:space="preserve"> — зачисление, отчисление, восстановление, выпуск, перевод из другого учебного заведения, перевод в другую группу, изменение вида финансирования, уход в академический отпуск и восстановление из него;</w:t>
      </w:r>
    </w:p>
    <w:p w14:paraId="25000000">
      <w:pPr>
        <w:pStyle w:val="Style_2"/>
        <w:widowControl w:val="1"/>
        <w:numPr>
          <w:ilvl w:val="1"/>
          <w:numId w:val="2"/>
        </w:numPr>
        <w:spacing w:after="0" w:line="240" w:lineRule="auto"/>
        <w:ind w:left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данные о </w:t>
      </w:r>
      <w:r>
        <w:rPr>
          <w:rFonts w:ascii="Times New Roman" w:hAnsi="Times New Roman"/>
          <w:sz w:val="24"/>
        </w:rPr>
        <w:t>стипендия</w:t>
      </w:r>
      <w:r>
        <w:rPr>
          <w:rFonts w:ascii="Times New Roman" w:hAnsi="Times New Roman"/>
          <w:sz w:val="24"/>
        </w:rPr>
        <w:t>х</w:t>
      </w:r>
      <w:r>
        <w:rPr>
          <w:rFonts w:ascii="Times New Roman" w:hAnsi="Times New Roman"/>
          <w:sz w:val="24"/>
        </w:rPr>
        <w:t xml:space="preserve"> — назначение, приостановка, продление, отмена, период назначения, дата прекращения, размер стипендий, списки студентов.</w:t>
      </w:r>
    </w:p>
    <w:p w14:paraId="26000000">
      <w:pPr>
        <w:pStyle w:val="Style_2"/>
        <w:widowControl w:val="1"/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Этот реестр передается в банк в электронном виде.</w:t>
      </w:r>
    </w:p>
    <w:p w14:paraId="27000000">
      <w:pPr>
        <w:pStyle w:val="Style_2"/>
        <w:widowControl w:val="1"/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Банк обрабатывает данные и осуществляет переводы на счета студентов. </w:t>
      </w:r>
    </w:p>
    <w:p w14:paraId="28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</w:p>
    <w:p w14:paraId="29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Однако текущий уровень документации требует актуализации и дополнений для полного соответствия современным требованиям законодательства, стандартов и вызовам цифровой эпохи. Некоторые документы, такие как политика обработки персональных данных, регламенты работы с информационными системами, должностные инструкции </w:t>
      </w:r>
      <w:r>
        <w:rPr>
          <w:rFonts w:ascii="Times New Roman" w:hAnsi="Times New Roman"/>
          <w:sz w:val="24"/>
        </w:rPr>
        <w:t>сотрудников отдела ИБ и документация по обеспечению безопасности лабораторной инфраструктуры, нуждаются в доработке с учетом новых угроз и технологий.</w:t>
      </w:r>
    </w:p>
    <w:p w14:paraId="2A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Перед началом работ по разработке документации необходимо определить последовательность действий, которая </w:t>
      </w:r>
      <w:r>
        <w:rPr>
          <w:rFonts w:ascii="Times New Roman" w:hAnsi="Times New Roman"/>
          <w:sz w:val="24"/>
        </w:rPr>
        <w:t>должна быть выстроена с учетом приоритетов и взаимосвязей между документами. На первом этапе требуется обновить Общую политику информационной безопасности, которая станет основой для всех последующих документов. Далее следует разработать инструкции</w:t>
      </w:r>
      <w:r>
        <w:rPr>
          <w:rFonts w:ascii="Times New Roman" w:hAnsi="Times New Roman"/>
          <w:sz w:val="24"/>
        </w:rPr>
        <w:t xml:space="preserve"> по работе с персональными данными, так как их обработка является одной из наиболее уязвимых областей. Параллельно необходимо создать должностные инструкции для сотрудников отдела ИБ, чтобы четко определить их обязанности и зоны ответственности.</w:t>
      </w:r>
    </w:p>
    <w:p w14:paraId="2B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разработки каждого из документов необходимо определить ключевые моменты:</w:t>
      </w:r>
    </w:p>
    <w:p w14:paraId="2C000000">
      <w:pPr>
        <w:pStyle w:val="Style_2"/>
        <w:widowControl w:val="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bookmarkStart w:id="1" w:name="_Hlk190635057"/>
      <w:r>
        <w:rPr>
          <w:rFonts w:ascii="Times New Roman" w:hAnsi="Times New Roman"/>
          <w:sz w:val="24"/>
        </w:rPr>
        <w:t>область действия документа, включая перечень информации, информационных систем, компонентов информационно-телекоммуникационной инфраструктуры, подлежащих защите: определение перечня информационных систем и защищаемой информации;</w:t>
      </w:r>
    </w:p>
    <w:p w14:paraId="2D000000">
      <w:pPr>
        <w:pStyle w:val="Style_2"/>
        <w:widowControl w:val="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цели защиты информации для исключения утечки информации ограниченного доступа и иной конфиденциальной информации, а также предотвращение несанкционированного доступа к информационным системам и содержащейся в них информации и др;</w:t>
      </w:r>
    </w:p>
    <w:p w14:paraId="2E000000">
      <w:pPr>
        <w:pStyle w:val="Style_2"/>
        <w:widowControl w:val="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категории лиц, участвующих в защите информации, их обязанности (функции) и полномочия (права): руководитель оператора, структурное подразделение, специалисты по защите информации, подрядные организации;</w:t>
      </w:r>
    </w:p>
    <w:p w14:paraId="2F000000">
      <w:pPr>
        <w:pStyle w:val="Style_2"/>
        <w:widowControl w:val="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состав организационной системы управления деятельностью по защите информации и схему взаимодействия ее элементов.</w:t>
      </w:r>
    </w:p>
    <w:p w14:paraId="30000000">
      <w:pPr>
        <w:pStyle w:val="Style_2"/>
        <w:widowControl w:val="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ответственность работников за нарушение требований о защите информации.</w:t>
      </w:r>
      <w:bookmarkEnd w:id="1"/>
    </w:p>
    <w:p w14:paraId="31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Следующим шагом станет разработка политики обработки персональных данных для сайта университета, включая уведомления о сборе метаданных, что особенно важно в условиях роста онлайн-взаимодействия. Для обеспечения безопасности лабораторной инфраструктуры необходимо составить перечень оборудования и разработать положения о лабораториях, которые регламентируют порядок их использования.</w:t>
      </w:r>
    </w:p>
    <w:p w14:paraId="32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Каждый этап разработки документов должен сопровождаться анализом текущих рисков, учетом требований отечественного законодательства и международных стандартов, в случае необходимости. Кроме того, важно вовлекать в процесс всех заинтересованных лиц: сотрудников отдела ИБ, администрацию университета, преподавателей и студентов.</w:t>
      </w:r>
    </w:p>
    <w:p w14:paraId="33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</w:p>
    <w:p w14:paraId="34000000">
      <w:pPr>
        <w:widowControl w:val="1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Опыт университета демонстрирует, что разработка и актуализация организационно-технической документации по информационной безопасности являются важным этапом в обеспечении защиты данных и минимизации рисков. Ключевыми факторами успеха являются:</w:t>
      </w:r>
    </w:p>
    <w:p w14:paraId="35000000">
      <w:pPr>
        <w:pStyle w:val="Style_2"/>
        <w:widowControl w:val="1"/>
        <w:numPr>
          <w:ilvl w:val="1"/>
          <w:numId w:val="3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системный подход к созданию документов;</w:t>
      </w:r>
    </w:p>
    <w:p w14:paraId="36000000">
      <w:pPr>
        <w:pStyle w:val="Style_2"/>
        <w:widowControl w:val="1"/>
        <w:numPr>
          <w:ilvl w:val="1"/>
          <w:numId w:val="3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регулярное обучение сотрудников и студентов;</w:t>
      </w:r>
    </w:p>
    <w:p w14:paraId="37000000">
      <w:pPr>
        <w:pStyle w:val="Style_2"/>
        <w:widowControl w:val="1"/>
        <w:numPr>
          <w:ilvl w:val="1"/>
          <w:numId w:val="3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актуализация документации с учетом изменений в технологиях и законодательстве;</w:t>
      </w:r>
    </w:p>
    <w:p w14:paraId="38000000">
      <w:pPr>
        <w:pStyle w:val="Style_2"/>
        <w:widowControl w:val="1"/>
        <w:numPr>
          <w:ilvl w:val="1"/>
          <w:numId w:val="3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других образовательных учреждений данный опыт может стать основой для построения эффективной системы информационной безопасности.</w:t>
      </w:r>
    </w:p>
    <w:p w14:paraId="39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suff w:val="tab"/>
      <w:lvlText w:val=""/>
      <w:lvlJc w:val="left"/>
      <w:pPr>
        <w:widowControl w:val="1"/>
        <w:ind w:hanging="360" w:left="720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widowControl w:val="1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widowControl w:val="1"/>
        <w:ind w:hanging="180" w:left="2160"/>
      </w:pPr>
    </w:lvl>
    <w:lvl w:ilvl="3">
      <w:start w:val="1"/>
      <w:numFmt w:val="decimal"/>
      <w:suff w:val="tab"/>
      <w:lvlText w:val="%4."/>
      <w:lvlJc w:val="left"/>
      <w:pPr>
        <w:widowControl w:val="1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widowControl w:val="1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widowControl w:val="1"/>
        <w:ind w:hanging="180" w:left="4320"/>
      </w:pPr>
    </w:lvl>
    <w:lvl w:ilvl="6">
      <w:start w:val="1"/>
      <w:numFmt w:val="decimal"/>
      <w:suff w:val="tab"/>
      <w:lvlText w:val="%7."/>
      <w:lvlJc w:val="left"/>
      <w:pPr>
        <w:widowControl w:val="1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widowControl w:val="1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widowControl w:val="1"/>
        <w:ind w:hanging="180" w:left="6480"/>
      </w:pPr>
    </w:lvl>
  </w:abstractNum>
  <w:abstractNum w:abstractNumId="1">
    <w:lvl w:ilvl="0">
      <w:start w:val="1"/>
      <w:numFmt w:val="decimal"/>
      <w:suff w:val="tab"/>
      <w:lvlText w:val="%1."/>
      <w:lvlJc w:val="left"/>
      <w:pPr>
        <w:widowControl w:val="1"/>
        <w:ind w:hanging="360" w:left="1428"/>
      </w:pPr>
    </w:lvl>
    <w:lvl w:ilvl="1">
      <w:start w:val="1"/>
      <w:numFmt w:val="bullet"/>
      <w:suff w:val="tab"/>
      <w:lvlText w:val=""/>
      <w:lvlJc w:val="left"/>
      <w:pPr>
        <w:widowControl w:val="1"/>
        <w:ind w:hanging="360" w:left="2148"/>
      </w:pPr>
      <w:rPr>
        <w:rFonts w:ascii="Symbol" w:hAnsi="Symbol"/>
      </w:rPr>
    </w:lvl>
    <w:lvl w:ilvl="2">
      <w:start w:val="1"/>
      <w:numFmt w:val="lowerRoman"/>
      <w:suff w:val="tab"/>
      <w:lvlText w:val="%3."/>
      <w:lvlJc w:val="right"/>
      <w:pPr>
        <w:widowControl w:val="1"/>
        <w:ind w:hanging="180" w:left="2868"/>
      </w:pPr>
    </w:lvl>
    <w:lvl w:ilvl="3">
      <w:start w:val="1"/>
      <w:numFmt w:val="decimal"/>
      <w:suff w:val="tab"/>
      <w:lvlText w:val="%4."/>
      <w:lvlJc w:val="left"/>
      <w:pPr>
        <w:widowControl w:val="1"/>
        <w:ind w:hanging="360" w:left="3588"/>
      </w:pPr>
    </w:lvl>
    <w:lvl w:ilvl="4">
      <w:start w:val="1"/>
      <w:numFmt w:val="lowerLetter"/>
      <w:suff w:val="tab"/>
      <w:lvlText w:val="%5."/>
      <w:lvlJc w:val="left"/>
      <w:pPr>
        <w:widowControl w:val="1"/>
        <w:ind w:hanging="360" w:left="4308"/>
      </w:pPr>
    </w:lvl>
    <w:lvl w:ilvl="5">
      <w:start w:val="1"/>
      <w:numFmt w:val="lowerRoman"/>
      <w:suff w:val="tab"/>
      <w:lvlText w:val="%6."/>
      <w:lvlJc w:val="right"/>
      <w:pPr>
        <w:widowControl w:val="1"/>
        <w:ind w:hanging="180" w:left="5028"/>
      </w:pPr>
    </w:lvl>
    <w:lvl w:ilvl="6">
      <w:start w:val="1"/>
      <w:numFmt w:val="decimal"/>
      <w:suff w:val="tab"/>
      <w:lvlText w:val="%7."/>
      <w:lvlJc w:val="left"/>
      <w:pPr>
        <w:widowControl w:val="1"/>
        <w:ind w:hanging="360" w:left="5748"/>
      </w:pPr>
    </w:lvl>
    <w:lvl w:ilvl="7">
      <w:start w:val="1"/>
      <w:numFmt w:val="lowerLetter"/>
      <w:suff w:val="tab"/>
      <w:lvlText w:val="%8."/>
      <w:lvlJc w:val="left"/>
      <w:pPr>
        <w:widowControl w:val="1"/>
        <w:ind w:hanging="360" w:left="6468"/>
      </w:pPr>
    </w:lvl>
    <w:lvl w:ilvl="8">
      <w:start w:val="1"/>
      <w:numFmt w:val="lowerRoman"/>
      <w:suff w:val="tab"/>
      <w:lvlText w:val="%9."/>
      <w:lvlJc w:val="right"/>
      <w:pPr>
        <w:widowControl w:val="1"/>
        <w:ind w:hanging="180" w:left="7188"/>
      </w:pPr>
    </w:lvl>
  </w:abstractNum>
  <w:abstractNum w:abstractNumId="2">
    <w:lvl w:ilvl="0">
      <w:start w:val="1"/>
      <w:numFmt w:val="bullet"/>
      <w:suff w:val="tab"/>
      <w:lvlText w:val=""/>
      <w:lvlJc w:val="left"/>
      <w:pPr>
        <w:widowControl w:val="1"/>
        <w:ind w:hanging="360" w:left="720"/>
      </w:pPr>
      <w:rPr>
        <w:rFonts w:ascii="Symbol" w:hAnsi="Symbol"/>
      </w:rPr>
    </w:lvl>
    <w:lvl w:ilvl="1">
      <w:start w:val="1"/>
      <w:numFmt w:val="bullet"/>
      <w:suff w:val="tab"/>
      <w:lvlText w:val=""/>
      <w:lvlJc w:val="left"/>
      <w:pPr>
        <w:widowControl w:val="1"/>
        <w:ind w:hanging="360" w:left="1440"/>
      </w:pPr>
      <w:rPr>
        <w:rFonts w:ascii="Symbol" w:hAnsi="Symbol"/>
      </w:rPr>
    </w:lvl>
    <w:lvl w:ilvl="2">
      <w:start w:val="1"/>
      <w:numFmt w:val="bullet"/>
      <w:suff w:val="tab"/>
      <w:lvlText w:val=""/>
      <w:lvlJc w:val="left"/>
      <w:pPr>
        <w:widowControl w:val="1"/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widowControl w:val="1"/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widowControl w:val="1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widowControl w:val="1"/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widowControl w:val="1"/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widowControl w:val="1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widowControl w:val="1"/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1"/>
        <w:spacing w:after="160" w:before="0" w:line="259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widowControl w:val="1"/>
      <w:spacing w:line="256" w:lineRule="auto"/>
      <w:ind/>
    </w:pPr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2" w:type="paragraph">
    <w:name w:val="List Paragraph"/>
    <w:basedOn w:val="Style_3"/>
    <w:link w:val="Style_2_ch"/>
    <w:pPr>
      <w:widowControl w:val="1"/>
      <w:ind w:left="720"/>
      <w:contextualSpacing w:val="1"/>
    </w:pPr>
  </w:style>
  <w:style w:styleId="Style_2_ch" w:type="character">
    <w:name w:val="List Paragraph"/>
    <w:basedOn w:val="Style_3_ch"/>
    <w:link w:val="Style_2"/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basedOn w:val="Style_3"/>
    <w:next w:val="Style_3"/>
    <w:link w:val="Style_13_ch"/>
    <w:uiPriority w:val="9"/>
    <w:qFormat/>
    <w:pPr>
      <w:widowControl w:val="1"/>
      <w:spacing w:after="0" w:before="120" w:line="240" w:lineRule="auto"/>
      <w:ind/>
      <w:jc w:val="right"/>
      <w:outlineLvl w:val="0"/>
    </w:pPr>
    <w:rPr>
      <w:rFonts w:ascii="Times New Roman" w:hAnsi="Times New Roman"/>
      <w:b w:val="1"/>
      <w:i w:val="1"/>
      <w:sz w:val="24"/>
    </w:rPr>
  </w:style>
  <w:style w:styleId="Style_13_ch" w:type="character">
    <w:name w:val="heading 1"/>
    <w:basedOn w:val="Style_3_ch"/>
    <w:link w:val="Style_13"/>
    <w:rPr>
      <w:rFonts w:ascii="Times New Roman" w:hAnsi="Times New Roman"/>
      <w:b w:val="1"/>
      <w:i w:val="1"/>
      <w:sz w:val="24"/>
    </w:rPr>
  </w:style>
  <w:style w:styleId="Style_14" w:type="paragraph">
    <w:name w:val="caption"/>
    <w:basedOn w:val="Style_3"/>
    <w:next w:val="Style_3"/>
    <w:link w:val="Style_14_ch"/>
    <w:pPr>
      <w:widowControl w:val="1"/>
      <w:spacing w:after="200" w:line="240" w:lineRule="auto"/>
      <w:ind/>
    </w:pPr>
    <w:rPr>
      <w:i w:val="1"/>
      <w:color w:themeColor="text2" w:val="44546A"/>
      <w:sz w:val="18"/>
    </w:rPr>
  </w:style>
  <w:style w:styleId="Style_14_ch" w:type="character">
    <w:name w:val="caption"/>
    <w:basedOn w:val="Style_3_ch"/>
    <w:link w:val="Style_14"/>
    <w:rPr>
      <w:i w:val="1"/>
      <w:color w:themeColor="text2" w:val="44546A"/>
      <w:sz w:val="18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3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8"/>
    </w:rPr>
  </w:style>
  <w:style w:styleId="Style_18_ch" w:type="character">
    <w:name w:val="Header and Footer"/>
    <w:link w:val="Style_18"/>
    <w:rPr>
      <w:rFonts w:ascii="XO Thames" w:hAnsi="XO Thames"/>
      <w:sz w:val="28"/>
    </w:rPr>
  </w:style>
  <w:style w:styleId="Style_19" w:type="paragraph">
    <w:name w:val="toc 9"/>
    <w:next w:val="Style_3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3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3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3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3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3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3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styleId="Style_1" w:type="table">
    <w:name w:val="Table Grid"/>
    <w:basedOn w:val="Style_26"/>
    <w:pPr>
      <w:widowControl w:val="1"/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2025-04-21T18:00:51Z</dcterms:created>
  <dcterms:modified xsi:type="dcterms:W3CDTF">2025-04-21T18:00:59Z</dcterms:modified>
</cp:coreProperties>
</file>