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80" w:before="0"/>
        <w:jc w:val="center"/>
      </w:pPr>
      <w:r>
        <w:rPr>
          <w:rFonts w:ascii="Arial" w:cs="Arial" w:eastAsia="Arial" w:hAnsi="Arial"/>
          <w:b/>
          <w:bCs/>
          <w:color w:val="0D6B72"/>
          <w:sz w:val="96"/>
          <w:szCs w:val="96"/>
        </w:rPr>
        <w:t xml:space="preserve">ClinIQ</w:t>
      </w:r>
    </w:p>
    <w:p>
      <w:pPr>
        <w:spacing w:after="240" w:before="0"/>
        <w:jc w:val="center"/>
      </w:pPr>
      <w:r>
        <w:rPr>
          <w:rFonts w:ascii="Arial" w:cs="Arial" w:eastAsia="Arial" w:hAnsi="Arial"/>
          <w:color w:val="0F2B3D"/>
          <w:sz w:val="36"/>
          <w:szCs w:val="36"/>
        </w:rPr>
        <w:t xml:space="preserve">Clinical Trial Site Performance Intelligence</w:t>
      </w:r>
    </w:p>
    <w:p>
      <w:pPr>
        <w:pBdr>
          <w:bottom w:val="single" w:color="0D6B72" w:sz="6" w:space="1"/>
        </w:pBdr>
        <w:spacing w:after="320" w:before="0"/>
        <w:jc w:val="center"/>
      </w:pPr>
    </w:p>
    <w:p>
      <w:pPr>
        <w:spacing w:after="120" w:before="0"/>
        <w:jc w:val="center"/>
      </w:pPr>
      <w:r>
        <w:rPr>
          <w:rFonts w:ascii="Arial" w:cs="Arial" w:eastAsia="Arial" w:hAnsi="Arial"/>
          <w:b/>
          <w:bCs/>
          <w:color w:val="0F2B3D"/>
          <w:sz w:val="28"/>
          <w:szCs w:val="28"/>
        </w:rPr>
        <w:t xml:space="preserve">Full Architecture &amp; Product Plan</w:t>
      </w:r>
    </w:p>
    <w:p>
      <w:pPr>
        <w:spacing w:after="80" w:before="0"/>
        <w:jc w:val="center"/>
      </w:pPr>
      <w:r>
        <w:rPr>
          <w:rFonts w:ascii="Arial" w:cs="Arial" w:eastAsia="Arial" w:hAnsi="Arial"/>
          <w:color w:val="555555"/>
          <w:sz w:val="22"/>
          <w:szCs w:val="22"/>
        </w:rPr>
        <w:t xml:space="preserve">Shaz Moghaddam  ·  London, UK  ·  June 2026</w:t>
      </w:r>
    </w:p>
    <w:p>
      <w:pPr>
        <w:spacing w:after="2000" w:before="0"/>
        <w:jc w:val="center"/>
      </w:pPr>
      <w:r>
        <w:rPr>
          <w:rFonts w:ascii="Arial" w:cs="Arial" w:eastAsia="Arial" w:hAnsi="Arial"/>
          <w:color w:val="999999"/>
          <w:sz w:val="20"/>
          <w:szCs w:val="20"/>
        </w:rPr>
        <w:t xml:space="preserve">shazmoghaddam.github.io  ·  github.com/ShazMoghaddam</w:t>
      </w:r>
    </w:p>
    <w:p>
      <w:r>
        <w:br w:type="page"/>
      </w:r>
    </w:p>
    <w:p>
      <w:pPr>
        <w:spacing w:after="0" w:before="320"/>
      </w:pPr>
    </w:p>
    <w:p>
      <w:pPr>
        <w:pBdr>
          <w:bottom w:val="single" w:color="0D6B72" w:sz="8" w:space="1"/>
        </w:pBdr>
        <w:spacing w:after="200" w:before="0"/>
      </w:pPr>
      <w:r>
        <w:rPr>
          <w:rFonts w:ascii="Arial" w:cs="Arial" w:eastAsia="Arial" w:hAnsi="Arial"/>
          <w:b/>
          <w:bCs/>
          <w:color w:val="0F2B3D"/>
          <w:sz w:val="32"/>
          <w:szCs w:val="32"/>
        </w:rPr>
        <w:t xml:space="preserve">Executive Summary</w:t>
      </w:r>
    </w:p>
    <w:p>
      <w:pPr>
        <w:spacing w:after="120" w:before="0"/>
      </w:pPr>
      <w:r>
        <w:rPr>
          <w:rFonts w:ascii="Arial" w:cs="Arial" w:eastAsia="Arial" w:hAnsi="Arial"/>
          <w:b w:val="false"/>
          <w:bCs w:val="false"/>
          <w:color w:val="000000"/>
          <w:sz w:val="22"/>
          <w:szCs w:val="22"/>
        </w:rPr>
        <w:t xml:space="preserve">ClinIQ is a Python-based B2B intelligence platform for clinical trial site performance monitoring. It targets mid-market Contract Research Organisations (CROs) and biotech sponsors operating across the UK and EU who need proactive, auditable insight into trial site health — without the cost and complexity of enterprise solutions like Oracle Clinical or Veeva Vault CTMS.</w:t>
      </w:r>
    </w:p>
    <w:p>
      <w:pPr>
        <w:spacing w:after="8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gridSpan w:val="1"/>
            <w:tcBorders>
              <w:top w:val="single" w:color="CCCCCC" w:sz="1"/>
              <w:left w:val="single" w:color="CCCCCC" w:sz="1"/>
              <w:bottom w:val="single" w:color="CCCCCC" w:sz="1"/>
              <w:right w:val="single" w:color="CCCCCC" w:sz="1"/>
            </w:tcBorders>
            <w:shd w:fill="0D6B72" w:val="clear"/>
            <w:tcMar>
              <w:top w:type="dxa" w:w="80"/>
              <w:left w:type="dxa" w:w="120"/>
              <w:bottom w:type="dxa" w:w="80"/>
              <w:right w:type="dxa" w:w="120"/>
            </w:tcMar>
            <w:vAlign w:val="center"/>
          </w:tcPr>
          <w:p>
            <w:r>
              <w:rPr>
                <w:rFonts w:ascii="Arial" w:cs="Arial" w:eastAsia="Arial" w:hAnsi="Arial"/>
                <w:b/>
                <w:bCs/>
                <w:color w:val="FFFFFF"/>
                <w:sz w:val="20"/>
                <w:szCs w:val="20"/>
              </w:rPr>
              <w:t xml:space="preserve">Pillar</w:t>
            </w:r>
          </w:p>
        </w:tc>
        <w:tc>
          <w:tcPr>
            <w:tcW w:type="dxa" w:w="7020"/>
            <w:gridSpan w:val="1"/>
            <w:tcBorders>
              <w:top w:val="single" w:color="CCCCCC" w:sz="1"/>
              <w:left w:val="single" w:color="CCCCCC" w:sz="1"/>
              <w:bottom w:val="single" w:color="CCCCCC" w:sz="1"/>
              <w:right w:val="single" w:color="CCCCCC" w:sz="1"/>
            </w:tcBorders>
            <w:shd w:fill="0D6B72"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r>
      <w:tr>
        <w:tc>
          <w:tcPr>
            <w:tcW w:type="dxa" w:w="234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000000"/>
                <w:sz w:val="20"/>
                <w:szCs w:val="20"/>
              </w:rPr>
              <w:t xml:space="preserve">Data Model</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PostgreSQL-ready, three-schema architecture — protocol config, operational time-series, derived analytics</w:t>
            </w:r>
          </w:p>
        </w:tc>
      </w:tr>
      <w:tr>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Testing</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500+ automated tests across unit, integration, analytics, API, dashboard, and seeder layers</w:t>
            </w:r>
          </w:p>
        </w:tc>
      </w:tr>
      <w:tr>
        <w:tc>
          <w:tcPr>
            <w:tcW w:type="dxa" w:w="234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000000"/>
                <w:sz w:val="20"/>
                <w:szCs w:val="20"/>
              </w:rPr>
              <w:t xml:space="preserve">Go-to-Market</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White-label OEM to UK/EU CROs; £800–1,500/month platform licence + £300 white-label fee</w:t>
            </w:r>
          </w:p>
        </w:tc>
      </w:tr>
      <w:tr>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Regulatory</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ICH E6(R3) GCP, MHRA RBM Guidance, EU CTR 536/2014, UK GDPR / UK DPA 2018</w:t>
            </w:r>
          </w:p>
        </w:tc>
      </w:tr>
    </w:tbl>
    <w:p>
      <w:pPr>
        <w:spacing w:after="0" w:before="120"/>
      </w:pPr>
    </w:p>
    <w:p>
      <w:r>
        <w:br w:type="page"/>
      </w:r>
    </w:p>
    <w:p>
      <w:pPr>
        <w:spacing w:after="0" w:before="320"/>
      </w:pPr>
    </w:p>
    <w:p>
      <w:pPr>
        <w:pBdr>
          <w:bottom w:val="single" w:color="0D6B72" w:sz="8" w:space="1"/>
        </w:pBdr>
        <w:spacing w:after="200" w:before="0"/>
      </w:pPr>
      <w:r>
        <w:rPr>
          <w:rFonts w:ascii="Arial" w:cs="Arial" w:eastAsia="Arial" w:hAnsi="Arial"/>
          <w:b/>
          <w:bCs/>
          <w:color w:val="0F2B3D"/>
          <w:sz w:val="32"/>
          <w:szCs w:val="32"/>
        </w:rPr>
        <w:t xml:space="preserve">1  ·  Problem &amp; Market Opportunity</w:t>
      </w:r>
    </w:p>
    <w:p>
      <w:pPr>
        <w:spacing w:after="120" w:before="200"/>
      </w:pPr>
      <w:r>
        <w:rPr>
          <w:rFonts w:ascii="Arial" w:cs="Arial" w:eastAsia="Arial" w:hAnsi="Arial"/>
          <w:b/>
          <w:bCs/>
          <w:color w:val="0D6B72"/>
          <w:sz w:val="24"/>
          <w:szCs w:val="24"/>
        </w:rPr>
        <w:t xml:space="preserve">1.1  The Gap in Mid-Market CRO Tooling</w:t>
      </w:r>
    </w:p>
    <w:p>
      <w:pPr>
        <w:spacing w:after="120" w:before="0"/>
      </w:pPr>
      <w:r>
        <w:rPr>
          <w:rFonts w:ascii="Arial" w:cs="Arial" w:eastAsia="Arial" w:hAnsi="Arial"/>
          <w:b w:val="false"/>
          <w:bCs w:val="false"/>
          <w:color w:val="000000"/>
          <w:sz w:val="22"/>
          <w:szCs w:val="22"/>
        </w:rPr>
        <w:t xml:space="preserve">Clinical trial operations produce dense, time-sensitive data: enrolment velocity, protocol deviations, data entry lag, site dropout events, query resolution times. Despite the industry's analytical maturity, most mid-tier CROs (those running 5–50 concurrent trials) manage site performance with spreadsheets, email chains, and periodic sponsor teleconferences.</w:t>
      </w:r>
    </w:p>
    <w:p>
      <w:pPr>
        <w:spacing w:after="120" w:before="0"/>
      </w:pPr>
      <w:r>
        <w:rPr>
          <w:rFonts w:ascii="Arial" w:cs="Arial" w:eastAsia="Arial" w:hAnsi="Arial"/>
          <w:b w:val="false"/>
          <w:bCs w:val="false"/>
          <w:color w:val="000000"/>
          <w:sz w:val="22"/>
          <w:szCs w:val="22"/>
        </w:rPr>
        <w:t xml:space="preserve">Enterprise CTMS platforms (Veeva Vault, Oracle Clinical, Medidata Rave) cost upwards of £200k/year to implement and require dedicated validation teams. They are sized and priced for Big Pharma. The CRO market below that tier is largely unserved by purpose-built intelligence tooling.</w:t>
      </w:r>
    </w:p>
    <w:p>
      <w:pPr>
        <w:spacing w:after="120" w:before="200"/>
      </w:pPr>
      <w:r>
        <w:rPr>
          <w:rFonts w:ascii="Arial" w:cs="Arial" w:eastAsia="Arial" w:hAnsi="Arial"/>
          <w:b/>
          <w:bCs/>
          <w:color w:val="0D6B72"/>
          <w:sz w:val="24"/>
          <w:szCs w:val="24"/>
        </w:rPr>
        <w:t xml:space="preserve">1.2  Market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1"/>
              <w:left w:val="single" w:color="CCCCCC" w:sz="1"/>
              <w:bottom w:val="single" w:color="CCCCCC" w:sz="1"/>
              <w:right w:val="single" w:color="CCCCCC" w:sz="1"/>
            </w:tcBorders>
            <w:shd w:fill="0D6B72" w:val="clear"/>
            <w:tcMar>
              <w:top w:type="dxa" w:w="80"/>
              <w:left w:type="dxa" w:w="120"/>
              <w:bottom w:type="dxa" w:w="80"/>
              <w:right w:type="dxa" w:w="120"/>
            </w:tcMar>
            <w:vAlign w:val="center"/>
          </w:tcPr>
          <w:p>
            <w:r>
              <w:rPr>
                <w:rFonts w:ascii="Arial" w:cs="Arial" w:eastAsia="Arial" w:hAnsi="Arial"/>
                <w:b/>
                <w:bCs/>
                <w:color w:val="FFFFFF"/>
                <w:sz w:val="20"/>
                <w:szCs w:val="20"/>
              </w:rPr>
              <w:t xml:space="preserve">Segment</w:t>
            </w:r>
          </w:p>
        </w:tc>
        <w:tc>
          <w:tcPr>
            <w:tcW w:type="dxa" w:w="3120"/>
            <w:gridSpan w:val="1"/>
            <w:tcBorders>
              <w:top w:val="single" w:color="CCCCCC" w:sz="1"/>
              <w:left w:val="single" w:color="CCCCCC" w:sz="1"/>
              <w:bottom w:val="single" w:color="CCCCCC" w:sz="1"/>
              <w:right w:val="single" w:color="CCCCCC" w:sz="1"/>
            </w:tcBorders>
            <w:shd w:fill="0D6B72"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 (UK+EU)</w:t>
            </w:r>
          </w:p>
        </w:tc>
        <w:tc>
          <w:tcPr>
            <w:tcW w:type="dxa" w:w="3120"/>
            <w:gridSpan w:val="1"/>
            <w:tcBorders>
              <w:top w:val="single" w:color="CCCCCC" w:sz="1"/>
              <w:left w:val="single" w:color="CCCCCC" w:sz="1"/>
              <w:bottom w:val="single" w:color="CCCCCC" w:sz="1"/>
              <w:right w:val="single" w:color="CCCCCC" w:sz="1"/>
            </w:tcBorders>
            <w:shd w:fill="0D6B72" w:val="clear"/>
            <w:tcMar>
              <w:top w:type="dxa" w:w="80"/>
              <w:left w:type="dxa" w:w="120"/>
              <w:bottom w:type="dxa" w:w="80"/>
              <w:right w:type="dxa" w:w="120"/>
            </w:tcMar>
            <w:vAlign w:val="center"/>
          </w:tcPr>
          <w:p>
            <w:r>
              <w:rPr>
                <w:rFonts w:ascii="Arial" w:cs="Arial" w:eastAsia="Arial" w:hAnsi="Arial"/>
                <w:b/>
                <w:bCs/>
                <w:color w:val="FFFFFF"/>
                <w:sz w:val="20"/>
                <w:szCs w:val="20"/>
              </w:rPr>
              <w:t xml:space="preserve">Relevance</w:t>
            </w:r>
          </w:p>
        </w:tc>
      </w:tr>
      <w:tr>
        <w:tc>
          <w:tcPr>
            <w:tcW w:type="dxa" w:w="312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Mid-market CROs (5–50 trials)</w:t>
            </w:r>
          </w:p>
        </w:tc>
        <w:tc>
          <w:tcPr>
            <w:tcW w:type="dxa" w:w="312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~320</w:t>
            </w:r>
          </w:p>
        </w:tc>
        <w:tc>
          <w:tcPr>
            <w:tcW w:type="dxa" w:w="312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Primary buyer</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Biotech sponsors (Phase I–II)</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~600</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Secondary / direct</w:t>
            </w:r>
          </w:p>
        </w:tc>
      </w:tr>
      <w:tr>
        <w:tc>
          <w:tcPr>
            <w:tcW w:type="dxa" w:w="312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Academic CROs / NHS networks</w:t>
            </w:r>
          </w:p>
        </w:tc>
        <w:tc>
          <w:tcPr>
            <w:tcW w:type="dxa" w:w="312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~80</w:t>
            </w:r>
          </w:p>
        </w:tc>
        <w:tc>
          <w:tcPr>
            <w:tcW w:type="dxa" w:w="312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Tertiary / pilot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0D6B72" w:sz="1"/>
              <w:left w:val="single" w:color="0D6B72" w:sz="1"/>
              <w:bottom w:val="single" w:color="0D6B72" w:sz="1"/>
              <w:right w:val="single" w:color="0D6B72" w:sz="1"/>
            </w:tcBorders>
            <w:shd w:fill="E6F4F5" w:val="clear"/>
            <w:tcMar>
              <w:top w:type="dxa" w:w="100"/>
              <w:left w:type="dxa" w:w="120"/>
              <w:bottom w:type="dxa" w:w="100"/>
              <w:right w:type="dxa" w:w="120"/>
            </w:tcMar>
            <w:vAlign w:val="center"/>
          </w:tcPr>
          <w:p>
            <w:pPr>
              <w:jc w:val="center"/>
            </w:pPr>
            <w:r>
              <w:rPr>
                <w:rFonts w:ascii="Arial" w:cs="Arial" w:eastAsia="Arial" w:hAnsi="Arial"/>
                <w:b/>
                <w:bCs/>
                <w:color w:val="0D6B72"/>
                <w:sz w:val="20"/>
                <w:szCs w:val="20"/>
              </w:rPr>
              <w:t xml:space="preserve">TAM</w:t>
            </w:r>
          </w:p>
        </w:tc>
        <w:tc>
          <w:tcPr>
            <w:tcW w:type="dxa" w:w="7920"/>
            <w:tcBorders>
              <w:top w:val="single" w:color="0D6B72" w:sz="1"/>
              <w:left w:val="single" w:color="0D6B72" w:sz="1"/>
              <w:bottom w:val="single" w:color="0D6B72" w:sz="1"/>
              <w:right w:val="single" w:color="0D6B72" w:sz="1"/>
            </w:tcBorders>
            <w:shd w:fill="E6F4F5" w:val="clear"/>
            <w:tcMar>
              <w:top w:type="dxa" w:w="100"/>
              <w:left w:type="dxa" w:w="160"/>
              <w:bottom w:type="dxa" w:w="100"/>
              <w:right w:type="dxa" w:w="120"/>
            </w:tcMar>
          </w:tcPr>
          <w:p>
            <w:r>
              <w:rPr>
                <w:rFonts w:ascii="Arial" w:cs="Arial" w:eastAsia="Arial" w:hAnsi="Arial"/>
                <w:sz w:val="20"/>
                <w:szCs w:val="20"/>
              </w:rPr>
              <w:t xml:space="preserve">320 mid-market CROs at £800–1,500/month = £3.1M–5.8M ARR addressable. Even 5% penetration = £155k–290k ARR.</w:t>
            </w:r>
          </w:p>
        </w:tc>
      </w:tr>
    </w:tbl>
    <w:p>
      <w:pPr>
        <w:spacing w:after="0" w:before="120"/>
      </w:pPr>
    </w:p>
    <w:p>
      <w:r>
        <w:br w:type="page"/>
      </w:r>
    </w:p>
    <w:p>
      <w:pPr>
        <w:spacing w:after="0" w:before="320"/>
      </w:pPr>
    </w:p>
    <w:p>
      <w:pPr>
        <w:pBdr>
          <w:bottom w:val="single" w:color="0D6B72" w:sz="8" w:space="1"/>
        </w:pBdr>
        <w:spacing w:after="200" w:before="0"/>
      </w:pPr>
      <w:r>
        <w:rPr>
          <w:rFonts w:ascii="Arial" w:cs="Arial" w:eastAsia="Arial" w:hAnsi="Arial"/>
          <w:b/>
          <w:bCs/>
          <w:color w:val="0F2B3D"/>
          <w:sz w:val="32"/>
          <w:szCs w:val="32"/>
        </w:rPr>
        <w:t xml:space="preserve">2  ·  Data Model</w:t>
      </w:r>
    </w:p>
    <w:p>
      <w:pPr>
        <w:spacing w:after="120" w:before="200"/>
      </w:pPr>
      <w:r>
        <w:rPr>
          <w:rFonts w:ascii="Arial" w:cs="Arial" w:eastAsia="Arial" w:hAnsi="Arial"/>
          <w:b/>
          <w:bCs/>
          <w:color w:val="0D6B72"/>
          <w:sz w:val="24"/>
          <w:szCs w:val="24"/>
        </w:rPr>
        <w:t xml:space="preserve">2.1  Architecture Philosophy</w:t>
      </w:r>
    </w:p>
    <w:p>
      <w:pPr>
        <w:spacing w:after="120" w:before="0"/>
      </w:pPr>
      <w:r>
        <w:rPr>
          <w:rFonts w:ascii="Arial" w:cs="Arial" w:eastAsia="Arial" w:hAnsi="Arial"/>
          <w:b w:val="false"/>
          <w:bCs w:val="false"/>
          <w:color w:val="000000"/>
          <w:sz w:val="22"/>
          <w:szCs w:val="22"/>
        </w:rPr>
        <w:t xml:space="preserve">The data model is structured across three schema layers that mirror the natural hierarchy of a clinical trial: protocol configuration (what should happen), operational time-series (what is happening), and derived analytics (what it means). SQLite is used for local development and demo seeding; PostgreSQL (via SQLAlchemy) is the production target.</w:t>
      </w:r>
    </w:p>
    <w:p>
      <w:pPr>
        <w:spacing w:after="120" w:before="200"/>
      </w:pPr>
      <w:r>
        <w:rPr>
          <w:rFonts w:ascii="Arial" w:cs="Arial" w:eastAsia="Arial" w:hAnsi="Arial"/>
          <w:b/>
          <w:bCs/>
          <w:color w:val="0D6B72"/>
          <w:sz w:val="24"/>
          <w:szCs w:val="24"/>
        </w:rPr>
        <w:t xml:space="preserve">2.2  Schema Layer 1 — Protocol Configuration</w:t>
      </w:r>
    </w:p>
    <w:p>
      <w:pPr>
        <w:spacing w:after="120" w:before="0"/>
      </w:pPr>
      <w:r>
        <w:rPr>
          <w:rFonts w:ascii="Arial" w:cs="Arial" w:eastAsia="Arial" w:hAnsi="Arial"/>
          <w:b w:val="false"/>
          <w:bCs w:val="false"/>
          <w:color w:val="000000"/>
          <w:sz w:val="22"/>
          <w:szCs w:val="22"/>
        </w:rPr>
        <w:t xml:space="preserve">Static, per-trial reference data that defines enrolment targets, site responsibilities, and protocol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gridSpan w:val="1"/>
            <w:tcBorders>
              <w:top w:val="single" w:color="CCCCCC" w:sz="1"/>
              <w:left w:val="single" w:color="CCCCCC" w:sz="1"/>
              <w:bottom w:val="single" w:color="CCCCCC" w:sz="1"/>
              <w:right w:val="single" w:color="CCCCCC" w:sz="1"/>
            </w:tcBorders>
            <w:shd w:fill="0D6B72"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1560"/>
            <w:gridSpan w:val="1"/>
            <w:tcBorders>
              <w:top w:val="single" w:color="CCCCCC" w:sz="1"/>
              <w:left w:val="single" w:color="CCCCCC" w:sz="1"/>
              <w:bottom w:val="single" w:color="CCCCCC" w:sz="1"/>
              <w:right w:val="single" w:color="CCCCCC" w:sz="1"/>
            </w:tcBorders>
            <w:shd w:fill="0D6B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Columns</w:t>
            </w:r>
          </w:p>
        </w:tc>
        <w:tc>
          <w:tcPr>
            <w:tcW w:type="dxa" w:w="5460"/>
            <w:gridSpan w:val="1"/>
            <w:tcBorders>
              <w:top w:val="single" w:color="CCCCCC" w:sz="1"/>
              <w:left w:val="single" w:color="CCCCCC" w:sz="1"/>
              <w:bottom w:val="single" w:color="CCCCCC" w:sz="1"/>
              <w:right w:val="single" w:color="CCCCCC" w:sz="1"/>
            </w:tcBorders>
            <w:shd w:fill="0D6B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34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trials</w:t>
            </w:r>
          </w:p>
        </w:tc>
        <w:tc>
          <w:tcPr>
            <w:tcW w:type="dxa" w:w="156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trial_id, sponsor, phase, status</w:t>
            </w:r>
          </w:p>
        </w:tc>
        <w:tc>
          <w:tcPr>
            <w:tcW w:type="dxa" w:w="546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Master trial registry with protocol version and regulatory IDs (EudraCT, ISRCTN)</w:t>
            </w:r>
          </w:p>
        </w:tc>
      </w:tr>
      <w:tr>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sites</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site_id, country, pi_name, site_type</w:t>
            </w:r>
          </w:p>
        </w:tc>
        <w:tc>
          <w:tcPr>
            <w:tcW w:type="dxa" w:w="54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Investigator site registry; supports multi-country EU trials</w:t>
            </w:r>
          </w:p>
        </w:tc>
      </w:tr>
      <w:tr>
        <w:tc>
          <w:tcPr>
            <w:tcW w:type="dxa" w:w="234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trial_sites</w:t>
            </w:r>
          </w:p>
        </w:tc>
        <w:tc>
          <w:tcPr>
            <w:tcW w:type="dxa" w:w="156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enrolment_target, activation_date</w:t>
            </w:r>
          </w:p>
        </w:tc>
        <w:tc>
          <w:tcPr>
            <w:tcW w:type="dxa" w:w="546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Junction table linking trials to sites; stores per-site enrolment quota and activation timeline</w:t>
            </w:r>
          </w:p>
        </w:tc>
      </w:tr>
      <w:tr>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protocol_versions</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version, amendment_date, changes</w:t>
            </w:r>
          </w:p>
        </w:tc>
        <w:tc>
          <w:tcPr>
            <w:tcW w:type="dxa" w:w="54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Protocol amendment log; used to contextualise deviation spikes following amendments</w:t>
            </w:r>
          </w:p>
        </w:tc>
      </w:tr>
    </w:tbl>
    <w:p>
      <w:pPr>
        <w:spacing w:after="0" w:before="200"/>
      </w:pPr>
    </w:p>
    <w:p>
      <w:pPr>
        <w:spacing w:after="120" w:before="200"/>
      </w:pPr>
      <w:r>
        <w:rPr>
          <w:rFonts w:ascii="Arial" w:cs="Arial" w:eastAsia="Arial" w:hAnsi="Arial"/>
          <w:b/>
          <w:bCs/>
          <w:color w:val="0D6B72"/>
          <w:sz w:val="24"/>
          <w:szCs w:val="24"/>
        </w:rPr>
        <w:t xml:space="preserve">2.3  Schema Layer 2 — Operational Time-Series</w:t>
      </w:r>
    </w:p>
    <w:p>
      <w:pPr>
        <w:spacing w:after="120" w:before="0"/>
      </w:pPr>
      <w:r>
        <w:rPr>
          <w:rFonts w:ascii="Arial" w:cs="Arial" w:eastAsia="Arial" w:hAnsi="Arial"/>
          <w:b w:val="false"/>
          <w:bCs w:val="false"/>
          <w:color w:val="000000"/>
          <w:sz w:val="22"/>
          <w:szCs w:val="22"/>
        </w:rPr>
        <w:t xml:space="preserve">Event-level records generated by site activity. This is the primary source of performance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gridSpan w:val="1"/>
            <w:tcBorders>
              <w:top w:val="single" w:color="CCCCCC" w:sz="1"/>
              <w:left w:val="single" w:color="CCCCCC" w:sz="1"/>
              <w:bottom w:val="single" w:color="CCCCCC" w:sz="1"/>
              <w:right w:val="single" w:color="CCCCCC" w:sz="1"/>
            </w:tcBorders>
            <w:shd w:fill="0D6B72"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1560"/>
            <w:gridSpan w:val="1"/>
            <w:tcBorders>
              <w:top w:val="single" w:color="CCCCCC" w:sz="1"/>
              <w:left w:val="single" w:color="CCCCCC" w:sz="1"/>
              <w:bottom w:val="single" w:color="CCCCCC" w:sz="1"/>
              <w:right w:val="single" w:color="CCCCCC" w:sz="1"/>
            </w:tcBorders>
            <w:shd w:fill="0D6B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Columns</w:t>
            </w:r>
          </w:p>
        </w:tc>
        <w:tc>
          <w:tcPr>
            <w:tcW w:type="dxa" w:w="5460"/>
            <w:gridSpan w:val="1"/>
            <w:tcBorders>
              <w:top w:val="single" w:color="CCCCCC" w:sz="1"/>
              <w:left w:val="single" w:color="CCCCCC" w:sz="1"/>
              <w:bottom w:val="single" w:color="CCCCCC" w:sz="1"/>
              <w:right w:val="single" w:color="CCCCCC" w:sz="1"/>
            </w:tcBorders>
            <w:shd w:fill="0D6B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34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patient_enrolments</w:t>
            </w:r>
          </w:p>
        </w:tc>
        <w:tc>
          <w:tcPr>
            <w:tcW w:type="dxa" w:w="156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patient_id, screened_date, enrolled_date, status</w:t>
            </w:r>
          </w:p>
        </w:tc>
        <w:tc>
          <w:tcPr>
            <w:tcW w:type="dxa" w:w="546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Per-patient enrolment funnel: screening, consent, enrolment, withdrawal; drives velocity calculations</w:t>
            </w:r>
          </w:p>
        </w:tc>
      </w:tr>
      <w:tr>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protocol_deviations</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deviation_id, category, severity, free_text</w:t>
            </w:r>
          </w:p>
        </w:tc>
        <w:tc>
          <w:tcPr>
            <w:tcW w:type="dxa" w:w="54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Deviation log with severity (minor/major/critical) and free-text description for NLP categorisation</w:t>
            </w:r>
          </w:p>
        </w:tc>
      </w:tr>
      <w:tr>
        <w:tc>
          <w:tcPr>
            <w:tcW w:type="dxa" w:w="234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data_entry_events</w:t>
            </w:r>
          </w:p>
        </w:tc>
        <w:tc>
          <w:tcPr>
            <w:tcW w:type="dxa" w:w="156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visit_date, entry_date, eCRF_page</w:t>
            </w:r>
          </w:p>
        </w:tc>
        <w:tc>
          <w:tcPr>
            <w:tcW w:type="dxa" w:w="546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EDC entry timestamps; used to compute data lag KPI (visit-to-entry days)</w:t>
            </w:r>
          </w:p>
        </w:tc>
      </w:tr>
      <w:tr>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monitoring_visits</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visit_type, visit_date, findings</w:t>
            </w:r>
          </w:p>
        </w:tc>
        <w:tc>
          <w:tcPr>
            <w:tcW w:type="dxa" w:w="54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CRA visit log (on-site, remote, centralised); tracks SDV completion and open findings</w:t>
            </w:r>
          </w:p>
        </w:tc>
      </w:tr>
      <w:tr>
        <w:tc>
          <w:tcPr>
            <w:tcW w:type="dxa" w:w="234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query_log</w:t>
            </w:r>
          </w:p>
        </w:tc>
        <w:tc>
          <w:tcPr>
            <w:tcW w:type="dxa" w:w="156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query_id, opened_date, resolved_date, category</w:t>
            </w:r>
          </w:p>
        </w:tc>
        <w:tc>
          <w:tcPr>
            <w:tcW w:type="dxa" w:w="546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Data query lifecycle; drives query resolution time KPI and aging query alert</w:t>
            </w:r>
          </w:p>
        </w:tc>
      </w:tr>
    </w:tbl>
    <w:p>
      <w:pPr>
        <w:spacing w:after="0" w:before="200"/>
      </w:pPr>
    </w:p>
    <w:p>
      <w:pPr>
        <w:spacing w:after="120" w:before="200"/>
      </w:pPr>
      <w:r>
        <w:rPr>
          <w:rFonts w:ascii="Arial" w:cs="Arial" w:eastAsia="Arial" w:hAnsi="Arial"/>
          <w:b/>
          <w:bCs/>
          <w:color w:val="0D6B72"/>
          <w:sz w:val="24"/>
          <w:szCs w:val="24"/>
        </w:rPr>
        <w:t xml:space="preserve">2.4  Schema Layer 3 — Derived Analytics</w:t>
      </w:r>
    </w:p>
    <w:p>
      <w:pPr>
        <w:spacing w:after="120" w:before="0"/>
      </w:pPr>
      <w:r>
        <w:rPr>
          <w:rFonts w:ascii="Arial" w:cs="Arial" w:eastAsia="Arial" w:hAnsi="Arial"/>
          <w:b w:val="false"/>
          <w:bCs w:val="false"/>
          <w:color w:val="000000"/>
          <w:sz w:val="22"/>
          <w:szCs w:val="22"/>
        </w:rPr>
        <w:t xml:space="preserve">Pre-computed KPIs and ML model outputs, refreshed on a configurable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gridSpan w:val="1"/>
            <w:tcBorders>
              <w:top w:val="single" w:color="CCCCCC" w:sz="1"/>
              <w:left w:val="single" w:color="CCCCCC" w:sz="1"/>
              <w:bottom w:val="single" w:color="CCCCCC" w:sz="1"/>
              <w:right w:val="single" w:color="CCCCCC" w:sz="1"/>
            </w:tcBorders>
            <w:shd w:fill="0D6B72"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6760"/>
            <w:gridSpan w:val="1"/>
            <w:tcBorders>
              <w:top w:val="single" w:color="CCCCCC" w:sz="1"/>
              <w:left w:val="single" w:color="CCCCCC" w:sz="1"/>
              <w:bottom w:val="single" w:color="CCCCCC" w:sz="1"/>
              <w:right w:val="single" w:color="CCCCCC" w:sz="1"/>
            </w:tcBorders>
            <w:shd w:fill="0D6B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6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site_kpi_snapshots</w:t>
            </w:r>
          </w:p>
        </w:tc>
        <w:tc>
          <w:tcPr>
            <w:tcW w:type="dxa" w:w="676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Daily rollup of enrolment rate, deviation rate, data lag, query age — queryable as time-series</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risk_scores</w:t>
            </w:r>
          </w:p>
        </w:tc>
        <w:tc>
          <w:tcPr>
            <w:tcW w:type="dxa" w:w="6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Composite site risk score (0–100) with component weights, updated daily; drives the watchlist view</w:t>
            </w:r>
          </w:p>
        </w:tc>
      </w:tr>
      <w:tr>
        <w:tc>
          <w:tcPr>
            <w:tcW w:type="dxa" w:w="26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enrolment_forecasts</w:t>
            </w:r>
          </w:p>
        </w:tc>
        <w:tc>
          <w:tcPr>
            <w:tcW w:type="dxa" w:w="676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Per-site projected completion date from linear regression on rolling 28-day velocity</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deviation_clusters</w:t>
            </w:r>
          </w:p>
        </w:tc>
        <w:tc>
          <w:tcPr>
            <w:tcW w:type="dxa" w:w="6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NLP-tagged deviation categories and per-site cluster profiles updated weekly</w:t>
            </w:r>
          </w:p>
        </w:tc>
      </w:tr>
      <w:tr>
        <w:tc>
          <w:tcPr>
            <w:tcW w:type="dxa" w:w="26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audit_log</w:t>
            </w:r>
          </w:p>
        </w:tc>
        <w:tc>
          <w:tcPr>
            <w:tcW w:type="dxa" w:w="676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Immutable event log of all data access and system actions — required for GCP audit trail (21 CFR Part 11 / ICH E6 principles)</w:t>
            </w:r>
          </w:p>
        </w:tc>
      </w:tr>
    </w:tbl>
    <w:p>
      <w:pPr>
        <w:spacing w:after="0" w:before="120"/>
      </w:pPr>
    </w:p>
    <w:p>
      <w:r>
        <w:br w:type="page"/>
      </w:r>
    </w:p>
    <w:p>
      <w:pPr>
        <w:spacing w:after="0" w:before="320"/>
      </w:pPr>
    </w:p>
    <w:p>
      <w:pPr>
        <w:pBdr>
          <w:bottom w:val="single" w:color="0D6B72" w:sz="8" w:space="1"/>
        </w:pBdr>
        <w:spacing w:after="200" w:before="0"/>
      </w:pPr>
      <w:r>
        <w:rPr>
          <w:rFonts w:ascii="Arial" w:cs="Arial" w:eastAsia="Arial" w:hAnsi="Arial"/>
          <w:b/>
          <w:bCs/>
          <w:color w:val="0F2B3D"/>
          <w:sz w:val="32"/>
          <w:szCs w:val="32"/>
        </w:rPr>
        <w:t xml:space="preserve">3  ·  Module Architecture</w:t>
      </w:r>
    </w:p>
    <w:p>
      <w:pPr>
        <w:spacing w:after="120" w:before="200"/>
      </w:pPr>
      <w:r>
        <w:rPr>
          <w:rFonts w:ascii="Arial" w:cs="Arial" w:eastAsia="Arial" w:hAnsi="Arial"/>
          <w:b/>
          <w:bCs/>
          <w:color w:val="0D6B72"/>
          <w:sz w:val="24"/>
          <w:szCs w:val="24"/>
        </w:rPr>
        <w:t xml:space="preserve">3.1  File Structure</w:t>
      </w:r>
    </w:p>
    <w:p>
      <w:pPr>
        <w:spacing w:after="120" w:before="0"/>
      </w:pPr>
      <w:r>
        <w:rPr>
          <w:rFonts w:ascii="Arial" w:cs="Arial" w:eastAsia="Arial" w:hAnsi="Arial"/>
          <w:b w:val="false"/>
          <w:bCs w:val="false"/>
          <w:color w:val="000000"/>
          <w:sz w:val="22"/>
          <w:szCs w:val="22"/>
        </w:rPr>
        <w:t xml:space="preserve">ClinIQ follows the same single-responsibility module pattern as VoltEdge, with eleven top-level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gridSpan w:val="1"/>
            <w:tcBorders>
              <w:top w:val="single" w:color="CCCCCC" w:sz="1"/>
              <w:left w:val="single" w:color="CCCCCC" w:sz="1"/>
              <w:bottom w:val="single" w:color="CCCCCC" w:sz="1"/>
              <w:right w:val="single" w:color="CCCCCC" w:sz="1"/>
            </w:tcBorders>
            <w:shd w:fill="0D6B72"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6760"/>
            <w:gridSpan w:val="1"/>
            <w:tcBorders>
              <w:top w:val="single" w:color="CCCCCC" w:sz="1"/>
              <w:left w:val="single" w:color="CCCCCC" w:sz="1"/>
              <w:bottom w:val="single" w:color="CCCCCC" w:sz="1"/>
              <w:right w:val="single" w:color="CCCCCC" w:sz="1"/>
            </w:tcBorders>
            <w:shd w:fill="0D6B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r>
      <w:tr>
        <w:tc>
          <w:tcPr>
            <w:tcW w:type="dxa" w:w="26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cliniq/db/</w:t>
            </w:r>
          </w:p>
        </w:tc>
        <w:tc>
          <w:tcPr>
            <w:tcW w:type="dxa" w:w="676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SQLAlchemy models, Alembic migrations, seeder (12-month synthetic trial dataset), connection pool</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cliniq/analytics/</w:t>
            </w:r>
          </w:p>
        </w:tc>
        <w:tc>
          <w:tcPr>
            <w:tcW w:type="dxa" w:w="6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Enrolment velocity engine, screening funnel calculator, dropout risk model, data lag aggregator</w:t>
            </w:r>
          </w:p>
        </w:tc>
      </w:tr>
      <w:tr>
        <w:tc>
          <w:tcPr>
            <w:tcW w:type="dxa" w:w="26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cliniq/ml/</w:t>
            </w:r>
          </w:p>
        </w:tc>
        <w:tc>
          <w:tcPr>
            <w:tcW w:type="dxa" w:w="676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Risk score model (logistic regression), enrolment forecaster (linear projection), NLP deviation classifier (spaCy)</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cliniq/api/</w:t>
            </w:r>
          </w:p>
        </w:tc>
        <w:tc>
          <w:tcPr>
            <w:tcW w:type="dxa" w:w="6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FastAPI REST layer — trial, site, patient, KPI, forecast, and risk score endpoints</w:t>
            </w:r>
          </w:p>
        </w:tc>
      </w:tr>
      <w:tr>
        <w:tc>
          <w:tcPr>
            <w:tcW w:type="dxa" w:w="26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cliniq/dashboard/</w:t>
            </w:r>
          </w:p>
        </w:tc>
        <w:tc>
          <w:tcPr>
            <w:tcW w:type="dxa" w:w="676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Plotly Dash UI — portfolio heatmap, site drill-down, enrolment curves, deviation log, AI assistant</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cliniq/ai/</w:t>
            </w:r>
          </w:p>
        </w:tc>
        <w:tc>
          <w:tcPr>
            <w:tcW w:type="dxa" w:w="6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Claude integration — context builder, tool executor, plain-English query handler</w:t>
            </w:r>
          </w:p>
        </w:tc>
      </w:tr>
      <w:tr>
        <w:tc>
          <w:tcPr>
            <w:tcW w:type="dxa" w:w="26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cliniq/reports/</w:t>
            </w:r>
          </w:p>
        </w:tc>
        <w:tc>
          <w:tcPr>
            <w:tcW w:type="dxa" w:w="676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TMF-compatible PDF report generator, CSV export for sponsor data packages</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cliniq/processing/</w:t>
            </w:r>
          </w:p>
        </w:tc>
        <w:tc>
          <w:tcPr>
            <w:tcW w:type="dxa" w:w="6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Feature engineering pipeline — rolling KPI transforms, deviation severity weighting, lag normalisation</w:t>
            </w:r>
          </w:p>
        </w:tc>
      </w:tr>
      <w:tr>
        <w:tc>
          <w:tcPr>
            <w:tcW w:type="dxa" w:w="26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cliniq/rbac/</w:t>
            </w:r>
          </w:p>
        </w:tc>
        <w:tc>
          <w:tcPr>
            <w:tcW w:type="dxa" w:w="676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JWT auth, role definitions (Sponsor View / CRA / Clinical Lead / Admin), SOC 2 audit trail</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cliniq/ingestion/</w:t>
            </w:r>
          </w:p>
        </w:tc>
        <w:tc>
          <w:tcPr>
            <w:tcW w:type="dxa" w:w="6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CSV/XLSX import adapter (EDC exports), REST webhook for real EDC connectors (Medidata, Veeva)</w:t>
            </w:r>
          </w:p>
        </w:tc>
      </w:tr>
      <w:tr>
        <w:tc>
          <w:tcPr>
            <w:tcW w:type="dxa" w:w="26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cliniq/config/</w:t>
            </w:r>
          </w:p>
        </w:tc>
        <w:tc>
          <w:tcPr>
            <w:tcW w:type="dxa" w:w="676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Env-based settings (Pydantic), logging config, feature flags</w:t>
            </w:r>
          </w:p>
        </w:tc>
      </w:tr>
    </w:tbl>
    <w:p>
      <w:pPr>
        <w:spacing w:after="0" w:before="200"/>
      </w:pPr>
    </w:p>
    <w:p>
      <w:pPr>
        <w:spacing w:after="120" w:before="200"/>
      </w:pPr>
      <w:r>
        <w:rPr>
          <w:rFonts w:ascii="Arial" w:cs="Arial" w:eastAsia="Arial" w:hAnsi="Arial"/>
          <w:b/>
          <w:bCs/>
          <w:color w:val="0D6B72"/>
          <w:sz w:val="24"/>
          <w:szCs w:val="24"/>
        </w:rPr>
        <w:t xml:space="preserve">3.2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gridSpan w:val="1"/>
            <w:tcBorders>
              <w:top w:val="single" w:color="CCCCCC" w:sz="1"/>
              <w:left w:val="single" w:color="CCCCCC" w:sz="1"/>
              <w:bottom w:val="single" w:color="CCCCCC" w:sz="1"/>
              <w:right w:val="single" w:color="CCCCCC" w:sz="1"/>
            </w:tcBorders>
            <w:shd w:fill="0D6B72"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7020"/>
            <w:gridSpan w:val="1"/>
            <w:tcBorders>
              <w:top w:val="single" w:color="CCCCCC" w:sz="1"/>
              <w:left w:val="single" w:color="CCCCCC" w:sz="1"/>
              <w:bottom w:val="single" w:color="CCCCCC" w:sz="1"/>
              <w:right w:val="single" w:color="CCCCCC" w:sz="1"/>
            </w:tcBorders>
            <w:shd w:fill="0D6B7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234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Dashboard</w:t>
            </w:r>
          </w:p>
        </w:tc>
        <w:tc>
          <w:tcPr>
            <w:tcW w:type="dxa" w:w="702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Plotly Dash 4, Bootstrap 5, Bootstrap Icons, dark mode design system</w:t>
            </w:r>
          </w:p>
        </w:tc>
      </w:tr>
      <w:tr>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FastAPI, Uvicorn, Pydantic v2</w:t>
            </w:r>
          </w:p>
        </w:tc>
      </w:tr>
      <w:tr>
        <w:tc>
          <w:tcPr>
            <w:tcW w:type="dxa" w:w="234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ML / Analytics</w:t>
            </w:r>
          </w:p>
        </w:tc>
        <w:tc>
          <w:tcPr>
            <w:tcW w:type="dxa" w:w="702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scikit-learn (risk model, forecaster), spaCy en_core_web_sm (deviation NLP)</w:t>
            </w:r>
          </w:p>
        </w:tc>
      </w:tr>
      <w:tr>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ORM / DB</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SQLAlchemy 2.0, Alembic migrations; SQLite (dev/demo), PostgreSQL (production)</w:t>
            </w:r>
          </w:p>
        </w:tc>
      </w:tr>
      <w:tr>
        <w:tc>
          <w:tcPr>
            <w:tcW w:type="dxa" w:w="234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AI Assistant</w:t>
            </w:r>
          </w:p>
        </w:tc>
        <w:tc>
          <w:tcPr>
            <w:tcW w:type="dxa" w:w="702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Anthropic Claude — direct API mode, context-aware tool executor</w:t>
            </w:r>
          </w:p>
        </w:tc>
      </w:tr>
      <w:tr>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JWT + role-based access control (4 roles)</w:t>
            </w:r>
          </w:p>
        </w:tc>
      </w:tr>
      <w:tr>
        <w:tc>
          <w:tcPr>
            <w:tcW w:type="dxa" w:w="234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Reports</w:t>
            </w:r>
          </w:p>
        </w:tc>
        <w:tc>
          <w:tcPr>
            <w:tcW w:type="dxa" w:w="702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ReportLab (PDF), openpyxl (XLSX export)</w:t>
            </w:r>
          </w:p>
        </w:tc>
      </w:tr>
      <w:tr>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Testing</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pytest, pytest-cov, pytest-asyncio, Faker (seeder)</w:t>
            </w:r>
          </w:p>
        </w:tc>
      </w:tr>
      <w:tr>
        <w:tc>
          <w:tcPr>
            <w:tcW w:type="dxa" w:w="234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Deploy</w:t>
            </w:r>
          </w:p>
        </w:tc>
        <w:tc>
          <w:tcPr>
            <w:tcW w:type="dxa" w:w="702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Docker, Render (primary), Railway (secondary), GitHub Actions CI</w:t>
            </w:r>
          </w:p>
        </w:tc>
      </w:tr>
      <w:tr>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Language</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Python 3.11</w:t>
            </w:r>
          </w:p>
        </w:tc>
      </w:tr>
    </w:tbl>
    <w:p>
      <w:pPr>
        <w:spacing w:after="0" w:before="120"/>
      </w:pPr>
    </w:p>
    <w:p>
      <w:r>
        <w:br w:type="page"/>
      </w:r>
    </w:p>
    <w:p>
      <w:pPr>
        <w:spacing w:after="0" w:before="320"/>
      </w:pPr>
    </w:p>
    <w:p>
      <w:pPr>
        <w:pBdr>
          <w:bottom w:val="single" w:color="0D6B72" w:sz="8" w:space="1"/>
        </w:pBdr>
        <w:spacing w:after="200" w:before="0"/>
      </w:pPr>
      <w:r>
        <w:rPr>
          <w:rFonts w:ascii="Arial" w:cs="Arial" w:eastAsia="Arial" w:hAnsi="Arial"/>
          <w:b/>
          <w:bCs/>
          <w:color w:val="0F2B3D"/>
          <w:sz w:val="32"/>
          <w:szCs w:val="32"/>
        </w:rPr>
        <w:t xml:space="preserve">4  ·  Development Phases</w:t>
      </w:r>
    </w:p>
    <w:p>
      <w:pPr>
        <w:spacing w:after="120" w:before="0"/>
      </w:pPr>
      <w:r>
        <w:rPr>
          <w:rFonts w:ascii="Arial" w:cs="Arial" w:eastAsia="Arial" w:hAnsi="Arial"/>
          <w:b w:val="false"/>
          <w:bCs w:val="false"/>
          <w:color w:val="000000"/>
          <w:sz w:val="22"/>
          <w:szCs w:val="22"/>
        </w:rPr>
        <w:t xml:space="preserve">Development follows five sequential phases, each with a clear deliverable and test gate before proceeding.</w:t>
      </w:r>
    </w:p>
    <w:p>
      <w:pPr>
        <w:spacing w:after="0" w:before="100"/>
      </w:pPr>
    </w:p>
    <w:p>
      <w:pPr>
        <w:spacing w:after="120" w:before="200"/>
      </w:pPr>
      <w:r>
        <w:rPr>
          <w:rFonts w:ascii="Arial" w:cs="Arial" w:eastAsia="Arial" w:hAnsi="Arial"/>
          <w:b/>
          <w:bCs/>
          <w:color w:val="0D6B72"/>
          <w:sz w:val="24"/>
          <w:szCs w:val="24"/>
        </w:rPr>
        <w:t xml:space="preserve">Phase 1 — Data Foundation &amp; Seeder  (Weeks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B72" w:sz="1"/>
              <w:left w:val="single" w:color="0D6B72" w:sz="1"/>
              <w:bottom w:val="single" w:color="0D6B72" w:sz="1"/>
              <w:right w:val="single" w:color="0D6B72" w:sz="1"/>
            </w:tcBorders>
            <w:shd w:fill="D4EDDA" w:val="clear"/>
            <w:tcMar>
              <w:top w:type="dxa" w:w="80"/>
              <w:left w:type="dxa" w:w="160"/>
              <w:bottom w:type="dxa" w:w="80"/>
              <w:right w:type="dxa" w:w="120"/>
            </w:tcMar>
          </w:tcPr>
          <w:p>
            <w:r>
              <w:rPr>
                <w:rFonts w:ascii="Arial" w:cs="Arial" w:eastAsia="Arial" w:hAnsi="Arial"/>
                <w:b/>
                <w:bCs/>
                <w:color w:val="0F2B3D"/>
                <w:sz w:val="20"/>
                <w:szCs w:val="20"/>
              </w:rPr>
              <w:t xml:space="preserve">Deliverable: All SQLAlchemy models defined, Alembic baseline migration, 12-month synthetic dataset seeded</w:t>
            </w:r>
          </w:p>
        </w:tc>
      </w:tr>
    </w:tbl>
    <w:p>
      <w:pPr>
        <w:spacing w:after="80" w:before="100"/>
      </w:pPr>
    </w:p>
    <w:p>
      <w:pPr>
        <w:pStyle w:val="ListParagraph"/>
        <w:numPr>
          <w:ilvl w:val="0"/>
          <w:numId w:val="2"/>
        </w:numPr>
        <w:spacing w:after="60" w:before="60"/>
      </w:pPr>
      <w:r>
        <w:rPr>
          <w:rFonts w:ascii="Arial" w:cs="Arial" w:eastAsia="Arial" w:hAnsi="Arial"/>
          <w:sz w:val="20"/>
          <w:szCs w:val="20"/>
        </w:rPr>
        <w:t xml:space="preserve">Write SQLAlchemy models for all 10 tables across the three schema layers</w:t>
      </w:r>
    </w:p>
    <w:p>
      <w:pPr>
        <w:pStyle w:val="ListParagraph"/>
        <w:numPr>
          <w:ilvl w:val="0"/>
          <w:numId w:val="2"/>
        </w:numPr>
        <w:spacing w:after="60" w:before="60"/>
      </w:pPr>
      <w:r>
        <w:rPr>
          <w:rFonts w:ascii="Arial" w:cs="Arial" w:eastAsia="Arial" w:hAnsi="Arial"/>
          <w:sz w:val="20"/>
          <w:szCs w:val="20"/>
        </w:rPr>
        <w:t xml:space="preserve">Write Alembic initial migration and confirm it applies cleanly to both SQLite and PostgreSQL</w:t>
      </w:r>
    </w:p>
    <w:p>
      <w:pPr>
        <w:pStyle w:val="ListParagraph"/>
        <w:numPr>
          <w:ilvl w:val="0"/>
          <w:numId w:val="2"/>
        </w:numPr>
        <w:spacing w:after="60" w:before="60"/>
      </w:pPr>
      <w:r>
        <w:rPr>
          <w:rFonts w:ascii="Arial" w:cs="Arial" w:eastAsia="Arial" w:hAnsi="Arial"/>
          <w:sz w:val="20"/>
          <w:szCs w:val="20"/>
        </w:rPr>
        <w:t xml:space="preserve">Build the seeder using Faker: 8 fictional sites across UK, Germany, Poland, Netherlands — realistic site profiles (high enrollers, chronic deviators, slow-starters) seeded deliberately</w:t>
      </w:r>
    </w:p>
    <w:p>
      <w:pPr>
        <w:pStyle w:val="ListParagraph"/>
        <w:numPr>
          <w:ilvl w:val="0"/>
          <w:numId w:val="2"/>
        </w:numPr>
        <w:spacing w:after="60" w:before="60"/>
      </w:pPr>
      <w:r>
        <w:rPr>
          <w:rFonts w:ascii="Arial" w:cs="Arial" w:eastAsia="Arial" w:hAnsi="Arial"/>
          <w:sz w:val="20"/>
          <w:szCs w:val="20"/>
        </w:rPr>
        <w:t xml:space="preserve">Seed 12 months of patient enrolment records per site, with screening-to-enrolment conversion rates varying by site profile</w:t>
      </w:r>
    </w:p>
    <w:p>
      <w:pPr>
        <w:pStyle w:val="ListParagraph"/>
        <w:numPr>
          <w:ilvl w:val="0"/>
          <w:numId w:val="2"/>
        </w:numPr>
        <w:spacing w:after="60" w:before="60"/>
      </w:pPr>
      <w:r>
        <w:rPr>
          <w:rFonts w:ascii="Arial" w:cs="Arial" w:eastAsia="Arial" w:hAnsi="Arial"/>
          <w:sz w:val="20"/>
          <w:szCs w:val="20"/>
        </w:rPr>
        <w:t xml:space="preserve">Seed protocol deviation events with realistic severity distribution (70% minor, 25% major, 5% critical) and free-text descriptions for NLP training</w:t>
      </w:r>
    </w:p>
    <w:p>
      <w:pPr>
        <w:pStyle w:val="ListParagraph"/>
        <w:numPr>
          <w:ilvl w:val="0"/>
          <w:numId w:val="2"/>
        </w:numPr>
        <w:spacing w:after="60" w:before="60"/>
      </w:pPr>
      <w:r>
        <w:rPr>
          <w:rFonts w:ascii="Arial" w:cs="Arial" w:eastAsia="Arial" w:hAnsi="Arial"/>
          <w:sz w:val="20"/>
          <w:szCs w:val="20"/>
        </w:rPr>
        <w:t xml:space="preserve">Seed EDC lag events (visit-to-entry timestamps), query open/close events, and monitoring visits</w:t>
      </w:r>
    </w:p>
    <w:p>
      <w:pPr>
        <w:pStyle w:val="ListParagraph"/>
        <w:numPr>
          <w:ilvl w:val="0"/>
          <w:numId w:val="2"/>
        </w:numPr>
        <w:spacing w:after="60" w:before="60"/>
      </w:pPr>
      <w:r>
        <w:rPr>
          <w:rFonts w:ascii="Arial" w:cs="Arial" w:eastAsia="Arial" w:hAnsi="Arial"/>
          <w:sz w:val="20"/>
          <w:szCs w:val="20"/>
        </w:rPr>
        <w:t xml:space="preserve">Write a config-driven seeder so future demo datasets can be regenerated with one command</w:t>
      </w:r>
    </w:p>
    <w:p>
      <w:pPr>
        <w:spacing w:after="80" w:before="100"/>
      </w:pPr>
      <w:r>
        <w:rPr>
          <w:rFonts w:ascii="Arial" w:cs="Arial" w:eastAsia="Arial" w:hAnsi="Arial"/>
          <w:b/>
          <w:bCs/>
          <w:color w:val="0D6B72"/>
          <w:sz w:val="20"/>
          <w:szCs w:val="20"/>
        </w:rPr>
        <w:t xml:space="preserve">Test targets: 80 tests</w:t>
      </w:r>
    </w:p>
    <w:p>
      <w:pPr>
        <w:pStyle w:val="ListParagraph"/>
        <w:numPr>
          <w:ilvl w:val="1"/>
          <w:numId w:val="2"/>
        </w:numPr>
        <w:spacing w:after="60" w:before="60"/>
      </w:pPr>
      <w:r>
        <w:rPr>
          <w:rFonts w:ascii="Arial" w:cs="Arial" w:eastAsia="Arial" w:hAnsi="Arial"/>
          <w:sz w:val="20"/>
          <w:szCs w:val="20"/>
        </w:rPr>
        <w:t xml:space="preserve">Model constraints (nullable, foreign keys, unique)</w:t>
      </w:r>
    </w:p>
    <w:p>
      <w:pPr>
        <w:pStyle w:val="ListParagraph"/>
        <w:numPr>
          <w:ilvl w:val="1"/>
          <w:numId w:val="2"/>
        </w:numPr>
        <w:spacing w:after="60" w:before="60"/>
      </w:pPr>
      <w:r>
        <w:rPr>
          <w:rFonts w:ascii="Arial" w:cs="Arial" w:eastAsia="Arial" w:hAnsi="Arial"/>
          <w:sz w:val="20"/>
          <w:szCs w:val="20"/>
        </w:rPr>
        <w:t xml:space="preserve">Seeder idempotency (double-run produces no duplicate records)</w:t>
      </w:r>
    </w:p>
    <w:p>
      <w:pPr>
        <w:pStyle w:val="ListParagraph"/>
        <w:numPr>
          <w:ilvl w:val="1"/>
          <w:numId w:val="2"/>
        </w:numPr>
        <w:spacing w:after="60" w:before="60"/>
      </w:pPr>
      <w:r>
        <w:rPr>
          <w:rFonts w:ascii="Arial" w:cs="Arial" w:eastAsia="Arial" w:hAnsi="Arial"/>
          <w:sz w:val="20"/>
          <w:szCs w:val="20"/>
        </w:rPr>
        <w:t xml:space="preserve">Migration rollback correctness</w:t>
      </w:r>
    </w:p>
    <w:p>
      <w:pPr>
        <w:spacing w:after="0" w:before="160"/>
      </w:pPr>
    </w:p>
    <w:p>
      <w:pPr>
        <w:spacing w:after="120" w:before="200"/>
      </w:pPr>
      <w:r>
        <w:rPr>
          <w:rFonts w:ascii="Arial" w:cs="Arial" w:eastAsia="Arial" w:hAnsi="Arial"/>
          <w:b/>
          <w:bCs/>
          <w:color w:val="0D6B72"/>
          <w:sz w:val="24"/>
          <w:szCs w:val="24"/>
        </w:rPr>
        <w:t xml:space="preserve">Phase 2 — Analytics &amp; ML Engine  (Weeks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B72" w:sz="1"/>
              <w:left w:val="single" w:color="0D6B72" w:sz="1"/>
              <w:bottom w:val="single" w:color="0D6B72" w:sz="1"/>
              <w:right w:val="single" w:color="0D6B72" w:sz="1"/>
            </w:tcBorders>
            <w:shd w:fill="D4EDDA" w:val="clear"/>
            <w:tcMar>
              <w:top w:type="dxa" w:w="80"/>
              <w:left w:type="dxa" w:w="160"/>
              <w:bottom w:type="dxa" w:w="80"/>
              <w:right w:type="dxa" w:w="120"/>
            </w:tcMar>
          </w:tcPr>
          <w:p>
            <w:r>
              <w:rPr>
                <w:rFonts w:ascii="Arial" w:cs="Arial" w:eastAsia="Arial" w:hAnsi="Arial"/>
                <w:b/>
                <w:bCs/>
                <w:color w:val="0F2B3D"/>
                <w:sz w:val="20"/>
                <w:szCs w:val="20"/>
              </w:rPr>
              <w:t xml:space="preserve">Deliverable: All analytics and ML modules producing correct outputs on seeded data</w:t>
            </w:r>
          </w:p>
        </w:tc>
      </w:tr>
    </w:tbl>
    <w:p>
      <w:pPr>
        <w:spacing w:after="80" w:before="100"/>
      </w:pPr>
    </w:p>
    <w:p>
      <w:pPr>
        <w:pStyle w:val="ListParagraph"/>
        <w:numPr>
          <w:ilvl w:val="0"/>
          <w:numId w:val="2"/>
        </w:numPr>
        <w:spacing w:after="60" w:before="60"/>
      </w:pPr>
      <w:r>
        <w:rPr>
          <w:rFonts w:ascii="Arial" w:cs="Arial" w:eastAsia="Arial" w:hAnsi="Arial"/>
          <w:sz w:val="20"/>
          <w:szCs w:val="20"/>
        </w:rPr>
        <w:t xml:space="preserve">Enrolment velocity engine: rolling 28-day enrolment rate per site, linear projection to target, projected completion date, flag if &gt; protocol window</w:t>
      </w:r>
    </w:p>
    <w:p>
      <w:pPr>
        <w:pStyle w:val="ListParagraph"/>
        <w:numPr>
          <w:ilvl w:val="0"/>
          <w:numId w:val="2"/>
        </w:numPr>
        <w:spacing w:after="60" w:before="60"/>
      </w:pPr>
      <w:r>
        <w:rPr>
          <w:rFonts w:ascii="Arial" w:cs="Arial" w:eastAsia="Arial" w:hAnsi="Arial"/>
          <w:sz w:val="20"/>
          <w:szCs w:val="20"/>
        </w:rPr>
        <w:t xml:space="preserve">Screening funnel calculator: screen failure rate, consent rate, enrolment conversion by site and country</w:t>
      </w:r>
    </w:p>
    <w:p>
      <w:pPr>
        <w:pStyle w:val="ListParagraph"/>
        <w:numPr>
          <w:ilvl w:val="0"/>
          <w:numId w:val="2"/>
        </w:numPr>
        <w:spacing w:after="60" w:before="60"/>
      </w:pPr>
      <w:r>
        <w:rPr>
          <w:rFonts w:ascii="Arial" w:cs="Arial" w:eastAsia="Arial" w:hAnsi="Arial"/>
          <w:sz w:val="20"/>
          <w:szCs w:val="20"/>
        </w:rPr>
        <w:t xml:space="preserve">Data lag aggregator: mean and 90th-percentile visit-to-entry days per site, 7-day trend</w:t>
      </w:r>
    </w:p>
    <w:p>
      <w:pPr>
        <w:pStyle w:val="ListParagraph"/>
        <w:numPr>
          <w:ilvl w:val="0"/>
          <w:numId w:val="2"/>
        </w:numPr>
        <w:spacing w:after="60" w:before="60"/>
      </w:pPr>
      <w:r>
        <w:rPr>
          <w:rFonts w:ascii="Arial" w:cs="Arial" w:eastAsia="Arial" w:hAnsi="Arial"/>
          <w:sz w:val="20"/>
          <w:szCs w:val="20"/>
        </w:rPr>
        <w:t xml:space="preserve">Dropout risk model: logistic regression on enrolment rate trend, deviation history, data lag, and days since last monitoring visit; outputs probability score 0–1</w:t>
      </w:r>
    </w:p>
    <w:p>
      <w:pPr>
        <w:pStyle w:val="ListParagraph"/>
        <w:numPr>
          <w:ilvl w:val="0"/>
          <w:numId w:val="2"/>
        </w:numPr>
        <w:spacing w:after="60" w:before="60"/>
      </w:pPr>
      <w:r>
        <w:rPr>
          <w:rFonts w:ascii="Arial" w:cs="Arial" w:eastAsia="Arial" w:hAnsi="Arial"/>
          <w:sz w:val="20"/>
          <w:szCs w:val="20"/>
        </w:rPr>
        <w:t xml:space="preserve">Composite site risk score: weighted sum of enrolment shortfall, deviation rate, data lag, dropout probability; normalised to 0–100</w:t>
      </w:r>
    </w:p>
    <w:p>
      <w:pPr>
        <w:pStyle w:val="ListParagraph"/>
        <w:numPr>
          <w:ilvl w:val="0"/>
          <w:numId w:val="2"/>
        </w:numPr>
        <w:spacing w:after="60" w:before="60"/>
      </w:pPr>
      <w:r>
        <w:rPr>
          <w:rFonts w:ascii="Arial" w:cs="Arial" w:eastAsia="Arial" w:hAnsi="Arial"/>
          <w:sz w:val="20"/>
          <w:szCs w:val="20"/>
        </w:rPr>
        <w:t xml:space="preserve">NLP deviation classifier: spaCy pipeline to extract deviation category labels (consent, dosing, eligibility, documentation, safety) from free-text field</w:t>
      </w:r>
    </w:p>
    <w:p>
      <w:pPr>
        <w:pStyle w:val="ListParagraph"/>
        <w:numPr>
          <w:ilvl w:val="0"/>
          <w:numId w:val="2"/>
        </w:numPr>
        <w:spacing w:after="60" w:before="60"/>
      </w:pPr>
      <w:r>
        <w:rPr>
          <w:rFonts w:ascii="Arial" w:cs="Arial" w:eastAsia="Arial" w:hAnsi="Arial"/>
          <w:sz w:val="20"/>
          <w:szCs w:val="20"/>
        </w:rPr>
        <w:t xml:space="preserve">Daily KPI snapshot writer: scheduled job that writes derived analytics to site_kpi_snapshots table</w:t>
      </w:r>
    </w:p>
    <w:p>
      <w:pPr>
        <w:spacing w:after="80" w:before="100"/>
      </w:pPr>
      <w:r>
        <w:rPr>
          <w:rFonts w:ascii="Arial" w:cs="Arial" w:eastAsia="Arial" w:hAnsi="Arial"/>
          <w:b/>
          <w:bCs/>
          <w:color w:val="0D6B72"/>
          <w:sz w:val="20"/>
          <w:szCs w:val="20"/>
        </w:rPr>
        <w:t xml:space="preserve">Test targets: 140 tests</w:t>
      </w:r>
    </w:p>
    <w:p>
      <w:pPr>
        <w:pStyle w:val="ListParagraph"/>
        <w:numPr>
          <w:ilvl w:val="1"/>
          <w:numId w:val="2"/>
        </w:numPr>
        <w:spacing w:after="60" w:before="60"/>
      </w:pPr>
      <w:r>
        <w:rPr>
          <w:rFonts w:ascii="Arial" w:cs="Arial" w:eastAsia="Arial" w:hAnsi="Arial"/>
          <w:sz w:val="20"/>
          <w:szCs w:val="20"/>
        </w:rPr>
        <w:t xml:space="preserve">Velocity edge cases: no enrolments, single-day site, target already met</w:t>
      </w:r>
    </w:p>
    <w:p>
      <w:pPr>
        <w:pStyle w:val="ListParagraph"/>
        <w:numPr>
          <w:ilvl w:val="1"/>
          <w:numId w:val="2"/>
        </w:numPr>
        <w:spacing w:after="60" w:before="60"/>
      </w:pPr>
      <w:r>
        <w:rPr>
          <w:rFonts w:ascii="Arial" w:cs="Arial" w:eastAsia="Arial" w:hAnsi="Arial"/>
          <w:sz w:val="20"/>
          <w:szCs w:val="20"/>
        </w:rPr>
        <w:t xml:space="preserve">Risk score range validation (always 0–100)</w:t>
      </w:r>
    </w:p>
    <w:p>
      <w:pPr>
        <w:pStyle w:val="ListParagraph"/>
        <w:numPr>
          <w:ilvl w:val="1"/>
          <w:numId w:val="2"/>
        </w:numPr>
        <w:spacing w:after="60" w:before="60"/>
      </w:pPr>
      <w:r>
        <w:rPr>
          <w:rFonts w:ascii="Arial" w:cs="Arial" w:eastAsia="Arial" w:hAnsi="Arial"/>
          <w:sz w:val="20"/>
          <w:szCs w:val="20"/>
        </w:rPr>
        <w:t xml:space="preserve">NLP classifier precision/recall on held-out synthetic deviation descriptions</w:t>
      </w:r>
    </w:p>
    <w:p>
      <w:pPr>
        <w:pStyle w:val="ListParagraph"/>
        <w:numPr>
          <w:ilvl w:val="1"/>
          <w:numId w:val="2"/>
        </w:numPr>
        <w:spacing w:after="60" w:before="60"/>
      </w:pPr>
      <w:r>
        <w:rPr>
          <w:rFonts w:ascii="Arial" w:cs="Arial" w:eastAsia="Arial" w:hAnsi="Arial"/>
          <w:sz w:val="20"/>
          <w:szCs w:val="20"/>
        </w:rPr>
        <w:t xml:space="preserve">Snapshot idempotency and rollup arithmetic accuracy</w:t>
      </w:r>
    </w:p>
    <w:p>
      <w:r>
        <w:br w:type="page"/>
      </w:r>
    </w:p>
    <w:p>
      <w:pPr>
        <w:spacing w:after="120" w:before="200"/>
      </w:pPr>
      <w:r>
        <w:rPr>
          <w:rFonts w:ascii="Arial" w:cs="Arial" w:eastAsia="Arial" w:hAnsi="Arial"/>
          <w:b/>
          <w:bCs/>
          <w:color w:val="0D6B72"/>
          <w:sz w:val="24"/>
          <w:szCs w:val="24"/>
        </w:rPr>
        <w:t xml:space="preserve">Phase 3 — API Layer  (Week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B72" w:sz="1"/>
              <w:left w:val="single" w:color="0D6B72" w:sz="1"/>
              <w:bottom w:val="single" w:color="0D6B72" w:sz="1"/>
              <w:right w:val="single" w:color="0D6B72" w:sz="1"/>
            </w:tcBorders>
            <w:shd w:fill="D4EDDA" w:val="clear"/>
            <w:tcMar>
              <w:top w:type="dxa" w:w="80"/>
              <w:left w:type="dxa" w:w="160"/>
              <w:bottom w:type="dxa" w:w="80"/>
              <w:right w:type="dxa" w:w="120"/>
            </w:tcMar>
          </w:tcPr>
          <w:p>
            <w:r>
              <w:rPr>
                <w:rFonts w:ascii="Arial" w:cs="Arial" w:eastAsia="Arial" w:hAnsi="Arial"/>
                <w:b/>
                <w:bCs/>
                <w:color w:val="0F2B3D"/>
                <w:sz w:val="20"/>
                <w:szCs w:val="20"/>
              </w:rPr>
              <w:t xml:space="preserve">Deliverable: FastAPI serving all endpoints with OpenAPI schema, JWT auth enforced</w:t>
            </w:r>
          </w:p>
        </w:tc>
      </w:tr>
    </w:tbl>
    <w:p>
      <w:pPr>
        <w:spacing w:after="80" w:before="100"/>
      </w:pPr>
    </w:p>
    <w:p>
      <w:pPr>
        <w:pStyle w:val="ListParagraph"/>
        <w:numPr>
          <w:ilvl w:val="0"/>
          <w:numId w:val="2"/>
        </w:numPr>
        <w:spacing w:after="60" w:before="60"/>
      </w:pPr>
      <w:r>
        <w:rPr>
          <w:rFonts w:ascii="Arial" w:cs="Arial" w:eastAsia="Arial" w:hAnsi="Arial"/>
          <w:sz w:val="20"/>
          <w:szCs w:val="20"/>
        </w:rPr>
        <w:t xml:space="preserve">GET /trials, /trials/{id}, /trials/{id}/sites — trial registry endpoints</w:t>
      </w:r>
    </w:p>
    <w:p>
      <w:pPr>
        <w:pStyle w:val="ListParagraph"/>
        <w:numPr>
          <w:ilvl w:val="0"/>
          <w:numId w:val="2"/>
        </w:numPr>
        <w:spacing w:after="60" w:before="60"/>
      </w:pPr>
      <w:r>
        <w:rPr>
          <w:rFonts w:ascii="Arial" w:cs="Arial" w:eastAsia="Arial" w:hAnsi="Arial"/>
          <w:sz w:val="20"/>
          <w:szCs w:val="20"/>
        </w:rPr>
        <w:t xml:space="preserve">GET /sites/{id}/kpis — time-series KPI data with date range filter</w:t>
      </w:r>
    </w:p>
    <w:p>
      <w:pPr>
        <w:pStyle w:val="ListParagraph"/>
        <w:numPr>
          <w:ilvl w:val="0"/>
          <w:numId w:val="2"/>
        </w:numPr>
        <w:spacing w:after="60" w:before="60"/>
      </w:pPr>
      <w:r>
        <w:rPr>
          <w:rFonts w:ascii="Arial" w:cs="Arial" w:eastAsia="Arial" w:hAnsi="Arial"/>
          <w:sz w:val="20"/>
          <w:szCs w:val="20"/>
        </w:rPr>
        <w:t xml:space="preserve">GET /sites/{id}/risk — current risk score with component breakdown</w:t>
      </w:r>
    </w:p>
    <w:p>
      <w:pPr>
        <w:pStyle w:val="ListParagraph"/>
        <w:numPr>
          <w:ilvl w:val="0"/>
          <w:numId w:val="2"/>
        </w:numPr>
        <w:spacing w:after="60" w:before="60"/>
      </w:pPr>
      <w:r>
        <w:rPr>
          <w:rFonts w:ascii="Arial" w:cs="Arial" w:eastAsia="Arial" w:hAnsi="Arial"/>
          <w:sz w:val="20"/>
          <w:szCs w:val="20"/>
        </w:rPr>
        <w:t xml:space="preserve">GET /sites/{id}/forecast — enrolment projection and projected completion date</w:t>
      </w:r>
    </w:p>
    <w:p>
      <w:pPr>
        <w:pStyle w:val="ListParagraph"/>
        <w:numPr>
          <w:ilvl w:val="0"/>
          <w:numId w:val="2"/>
        </w:numPr>
        <w:spacing w:after="60" w:before="60"/>
      </w:pPr>
      <w:r>
        <w:rPr>
          <w:rFonts w:ascii="Arial" w:cs="Arial" w:eastAsia="Arial" w:hAnsi="Arial"/>
          <w:sz w:val="20"/>
          <w:szCs w:val="20"/>
        </w:rPr>
        <w:t xml:space="preserve">GET /sites/{id}/deviations — paginated deviation log with NLP category tags</w:t>
      </w:r>
    </w:p>
    <w:p>
      <w:pPr>
        <w:pStyle w:val="ListParagraph"/>
        <w:numPr>
          <w:ilvl w:val="0"/>
          <w:numId w:val="2"/>
        </w:numPr>
        <w:spacing w:after="60" w:before="60"/>
      </w:pPr>
      <w:r>
        <w:rPr>
          <w:rFonts w:ascii="Arial" w:cs="Arial" w:eastAsia="Arial" w:hAnsi="Arial"/>
          <w:sz w:val="20"/>
          <w:szCs w:val="20"/>
        </w:rPr>
        <w:t xml:space="preserve">GET /portfolio/watchlist — sites ranked by risk score, with alert flags</w:t>
      </w:r>
    </w:p>
    <w:p>
      <w:pPr>
        <w:pStyle w:val="ListParagraph"/>
        <w:numPr>
          <w:ilvl w:val="0"/>
          <w:numId w:val="2"/>
        </w:numPr>
        <w:spacing w:after="60" w:before="60"/>
      </w:pPr>
      <w:r>
        <w:rPr>
          <w:rFonts w:ascii="Arial" w:cs="Arial" w:eastAsia="Arial" w:hAnsi="Arial"/>
          <w:sz w:val="20"/>
          <w:szCs w:val="20"/>
        </w:rPr>
        <w:t xml:space="preserve">POST /ai/query — plain-English query routed to Claude with trial context</w:t>
      </w:r>
    </w:p>
    <w:p>
      <w:pPr>
        <w:pStyle w:val="ListParagraph"/>
        <w:numPr>
          <w:ilvl w:val="0"/>
          <w:numId w:val="2"/>
        </w:numPr>
        <w:spacing w:after="60" w:before="60"/>
      </w:pPr>
      <w:r>
        <w:rPr>
          <w:rFonts w:ascii="Arial" w:cs="Arial" w:eastAsia="Arial" w:hAnsi="Arial"/>
          <w:sz w:val="20"/>
          <w:szCs w:val="20"/>
        </w:rPr>
        <w:t xml:space="preserve">POST /reports/site/{id} — generate TMF-compatible PDF for a site</w:t>
      </w:r>
    </w:p>
    <w:p>
      <w:pPr>
        <w:pStyle w:val="ListParagraph"/>
        <w:numPr>
          <w:ilvl w:val="0"/>
          <w:numId w:val="2"/>
        </w:numPr>
        <w:spacing w:after="60" w:before="60"/>
      </w:pPr>
      <w:r>
        <w:rPr>
          <w:rFonts w:ascii="Arial" w:cs="Arial" w:eastAsia="Arial" w:hAnsi="Arial"/>
          <w:sz w:val="20"/>
          <w:szCs w:val="20"/>
        </w:rPr>
        <w:t xml:space="preserve">All endpoints require JWT; Sponsor View role restricted to read-only on their trial only</w:t>
      </w:r>
    </w:p>
    <w:p>
      <w:pPr>
        <w:spacing w:after="80" w:before="100"/>
      </w:pPr>
      <w:r>
        <w:rPr>
          <w:rFonts w:ascii="Arial" w:cs="Arial" w:eastAsia="Arial" w:hAnsi="Arial"/>
          <w:b/>
          <w:bCs/>
          <w:color w:val="0D6B72"/>
          <w:sz w:val="20"/>
          <w:szCs w:val="20"/>
        </w:rPr>
        <w:t xml:space="preserve">Test targets: 100 tests</w:t>
      </w:r>
    </w:p>
    <w:p>
      <w:pPr>
        <w:pStyle w:val="ListParagraph"/>
        <w:numPr>
          <w:ilvl w:val="1"/>
          <w:numId w:val="2"/>
        </w:numPr>
        <w:spacing w:after="60" w:before="60"/>
      </w:pPr>
      <w:r>
        <w:rPr>
          <w:rFonts w:ascii="Arial" w:cs="Arial" w:eastAsia="Arial" w:hAnsi="Arial"/>
          <w:sz w:val="20"/>
          <w:szCs w:val="20"/>
        </w:rPr>
        <w:t xml:space="preserve">Auth rejection (missing token, wrong role, expired token)</w:t>
      </w:r>
    </w:p>
    <w:p>
      <w:pPr>
        <w:pStyle w:val="ListParagraph"/>
        <w:numPr>
          <w:ilvl w:val="1"/>
          <w:numId w:val="2"/>
        </w:numPr>
        <w:spacing w:after="60" w:before="60"/>
      </w:pPr>
      <w:r>
        <w:rPr>
          <w:rFonts w:ascii="Arial" w:cs="Arial" w:eastAsia="Arial" w:hAnsi="Arial"/>
          <w:sz w:val="20"/>
          <w:szCs w:val="20"/>
        </w:rPr>
        <w:t xml:space="preserve">Response schema validation against Pydantic models</w:t>
      </w:r>
    </w:p>
    <w:p>
      <w:pPr>
        <w:pStyle w:val="ListParagraph"/>
        <w:numPr>
          <w:ilvl w:val="1"/>
          <w:numId w:val="2"/>
        </w:numPr>
        <w:spacing w:after="60" w:before="60"/>
      </w:pPr>
      <w:r>
        <w:rPr>
          <w:rFonts w:ascii="Arial" w:cs="Arial" w:eastAsia="Arial" w:hAnsi="Arial"/>
          <w:sz w:val="20"/>
          <w:szCs w:val="20"/>
        </w:rPr>
        <w:t xml:space="preserve">Edge cases: unknown IDs, empty results, malformed date filters</w:t>
      </w:r>
    </w:p>
    <w:p>
      <w:pPr>
        <w:pStyle w:val="ListParagraph"/>
        <w:numPr>
          <w:ilvl w:val="1"/>
          <w:numId w:val="2"/>
        </w:numPr>
        <w:spacing w:after="60" w:before="60"/>
      </w:pPr>
      <w:r>
        <w:rPr>
          <w:rFonts w:ascii="Arial" w:cs="Arial" w:eastAsia="Arial" w:hAnsi="Arial"/>
          <w:sz w:val="20"/>
          <w:szCs w:val="20"/>
        </w:rPr>
        <w:t xml:space="preserve">Audit log entry creation on each authenticated request</w:t>
      </w:r>
    </w:p>
    <w:p>
      <w:pPr>
        <w:spacing w:after="0" w:before="160"/>
      </w:pPr>
    </w:p>
    <w:p>
      <w:pPr>
        <w:spacing w:after="120" w:before="200"/>
      </w:pPr>
      <w:r>
        <w:rPr>
          <w:rFonts w:ascii="Arial" w:cs="Arial" w:eastAsia="Arial" w:hAnsi="Arial"/>
          <w:b/>
          <w:bCs/>
          <w:color w:val="0D6B72"/>
          <w:sz w:val="24"/>
          <w:szCs w:val="24"/>
        </w:rPr>
        <w:t xml:space="preserve">Phase 4 — Dashboard &amp; AI Assistant  (Weeks 6–7)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B72" w:sz="1"/>
              <w:left w:val="single" w:color="0D6B72" w:sz="1"/>
              <w:bottom w:val="single" w:color="0D6B72" w:sz="1"/>
              <w:right w:val="single" w:color="0D6B72" w:sz="1"/>
            </w:tcBorders>
            <w:shd w:fill="D4EDDA" w:val="clear"/>
            <w:tcMar>
              <w:top w:type="dxa" w:w="80"/>
              <w:left w:type="dxa" w:w="160"/>
              <w:bottom w:type="dxa" w:w="80"/>
              <w:right w:type="dxa" w:w="120"/>
            </w:tcMar>
          </w:tcPr>
          <w:p>
            <w:r>
              <w:rPr>
                <w:rFonts w:ascii="Arial" w:cs="Arial" w:eastAsia="Arial" w:hAnsi="Arial"/>
                <w:b/>
                <w:bCs/>
                <w:color w:val="0F2B3D"/>
                <w:sz w:val="20"/>
                <w:szCs w:val="20"/>
              </w:rPr>
              <w:t xml:space="preserve">Deliverable: Full Plotly Dash UI live on localhost with all views functional, Claude assistant integrated</w:t>
            </w:r>
          </w:p>
        </w:tc>
      </w:tr>
    </w:tbl>
    <w:p>
      <w:pPr>
        <w:spacing w:after="80" w:before="100"/>
      </w:pPr>
    </w:p>
    <w:p>
      <w:pPr>
        <w:pStyle w:val="ListParagraph"/>
        <w:numPr>
          <w:ilvl w:val="0"/>
          <w:numId w:val="2"/>
        </w:numPr>
        <w:spacing w:after="60" w:before="60"/>
      </w:pPr>
      <w:r>
        <w:rPr>
          <w:rFonts w:ascii="Arial" w:cs="Arial" w:eastAsia="Arial" w:hAnsi="Arial"/>
          <w:sz w:val="20"/>
          <w:szCs w:val="20"/>
        </w:rPr>
        <w:t xml:space="preserve">Portfolio heatmap: colour-coded grid of all sites by risk score (green / amber / red), with trial filter and date range selector</w:t>
      </w:r>
    </w:p>
    <w:p>
      <w:pPr>
        <w:pStyle w:val="ListParagraph"/>
        <w:numPr>
          <w:ilvl w:val="0"/>
          <w:numId w:val="2"/>
        </w:numPr>
        <w:spacing w:after="60" w:before="60"/>
      </w:pPr>
      <w:r>
        <w:rPr>
          <w:rFonts w:ascii="Arial" w:cs="Arial" w:eastAsia="Arial" w:hAnsi="Arial"/>
          <w:sz w:val="20"/>
          <w:szCs w:val="20"/>
        </w:rPr>
        <w:t xml:space="preserve">Site drill-down: enrolment curves (actual vs projected), deviation timeline, data lag trend, screening funnel chart</w:t>
      </w:r>
    </w:p>
    <w:p>
      <w:pPr>
        <w:pStyle w:val="ListParagraph"/>
        <w:numPr>
          <w:ilvl w:val="0"/>
          <w:numId w:val="2"/>
        </w:numPr>
        <w:spacing w:after="60" w:before="60"/>
      </w:pPr>
      <w:r>
        <w:rPr>
          <w:rFonts w:ascii="Arial" w:cs="Arial" w:eastAsia="Arial" w:hAnsi="Arial"/>
          <w:sz w:val="20"/>
          <w:szCs w:val="20"/>
        </w:rPr>
        <w:t xml:space="preserve">Watchlist view: ranked table of at-risk sites with alert flags and one-click drill-down</w:t>
      </w:r>
    </w:p>
    <w:p>
      <w:pPr>
        <w:pStyle w:val="ListParagraph"/>
        <w:numPr>
          <w:ilvl w:val="0"/>
          <w:numId w:val="2"/>
        </w:numPr>
        <w:spacing w:after="60" w:before="60"/>
      </w:pPr>
      <w:r>
        <w:rPr>
          <w:rFonts w:ascii="Arial" w:cs="Arial" w:eastAsia="Arial" w:hAnsi="Arial"/>
          <w:sz w:val="20"/>
          <w:szCs w:val="20"/>
        </w:rPr>
        <w:t xml:space="preserve">Deviation log: searchable, filterable table with NLP category badges and severity colour coding</w:t>
      </w:r>
    </w:p>
    <w:p>
      <w:pPr>
        <w:pStyle w:val="ListParagraph"/>
        <w:numPr>
          <w:ilvl w:val="0"/>
          <w:numId w:val="2"/>
        </w:numPr>
        <w:spacing w:after="60" w:before="60"/>
      </w:pPr>
      <w:r>
        <w:rPr>
          <w:rFonts w:ascii="Arial" w:cs="Arial" w:eastAsia="Arial" w:hAnsi="Arial"/>
          <w:sz w:val="20"/>
          <w:szCs w:val="20"/>
        </w:rPr>
        <w:t xml:space="preserve">AI assistant: chat interface with Claude context pre-populated with trial KPIs and site profiles</w:t>
      </w:r>
    </w:p>
    <w:p>
      <w:pPr>
        <w:pStyle w:val="ListParagraph"/>
        <w:numPr>
          <w:ilvl w:val="0"/>
          <w:numId w:val="2"/>
        </w:numPr>
        <w:spacing w:after="60" w:before="60"/>
      </w:pPr>
      <w:r>
        <w:rPr>
          <w:rFonts w:ascii="Arial" w:cs="Arial" w:eastAsia="Arial" w:hAnsi="Arial"/>
          <w:sz w:val="20"/>
          <w:szCs w:val="20"/>
        </w:rPr>
        <w:t xml:space="preserve">Report generator UI: select site + date range, trigger PDF generation, download link</w:t>
      </w:r>
    </w:p>
    <w:p>
      <w:pPr>
        <w:pStyle w:val="ListParagraph"/>
        <w:numPr>
          <w:ilvl w:val="0"/>
          <w:numId w:val="2"/>
        </w:numPr>
        <w:spacing w:after="60" w:before="60"/>
      </w:pPr>
      <w:r>
        <w:rPr>
          <w:rFonts w:ascii="Arial" w:cs="Arial" w:eastAsia="Arial" w:hAnsi="Arial"/>
          <w:sz w:val="20"/>
          <w:szCs w:val="20"/>
        </w:rPr>
        <w:t xml:space="preserve">Dark mode design system, URL routing, in-memory caching for KPI queries (same pattern as VoltEdge)</w:t>
      </w:r>
    </w:p>
    <w:p>
      <w:pPr>
        <w:spacing w:after="80" w:before="100"/>
      </w:pPr>
      <w:r>
        <w:rPr>
          <w:rFonts w:ascii="Arial" w:cs="Arial" w:eastAsia="Arial" w:hAnsi="Arial"/>
          <w:b/>
          <w:bCs/>
          <w:color w:val="0D6B72"/>
          <w:sz w:val="20"/>
          <w:szCs w:val="20"/>
        </w:rPr>
        <w:t xml:space="preserve">Test targets: 120 tests</w:t>
      </w:r>
    </w:p>
    <w:p>
      <w:pPr>
        <w:pStyle w:val="ListParagraph"/>
        <w:numPr>
          <w:ilvl w:val="1"/>
          <w:numId w:val="2"/>
        </w:numPr>
        <w:spacing w:after="60" w:before="60"/>
      </w:pPr>
      <w:r>
        <w:rPr>
          <w:rFonts w:ascii="Arial" w:cs="Arial" w:eastAsia="Arial" w:hAnsi="Arial"/>
          <w:sz w:val="20"/>
          <w:szCs w:val="20"/>
        </w:rPr>
        <w:t xml:space="preserve">Callback input/output schema tests for all Dash components</w:t>
      </w:r>
    </w:p>
    <w:p>
      <w:pPr>
        <w:pStyle w:val="ListParagraph"/>
        <w:numPr>
          <w:ilvl w:val="1"/>
          <w:numId w:val="2"/>
        </w:numPr>
        <w:spacing w:after="60" w:before="60"/>
      </w:pPr>
      <w:r>
        <w:rPr>
          <w:rFonts w:ascii="Arial" w:cs="Arial" w:eastAsia="Arial" w:hAnsi="Arial"/>
          <w:sz w:val="20"/>
          <w:szCs w:val="20"/>
        </w:rPr>
        <w:t xml:space="preserve">URL routing: each view loads with correct data on direct URL access</w:t>
      </w:r>
    </w:p>
    <w:p>
      <w:pPr>
        <w:pStyle w:val="ListParagraph"/>
        <w:numPr>
          <w:ilvl w:val="1"/>
          <w:numId w:val="2"/>
        </w:numPr>
        <w:spacing w:after="60" w:before="60"/>
      </w:pPr>
      <w:r>
        <w:rPr>
          <w:rFonts w:ascii="Arial" w:cs="Arial" w:eastAsia="Arial" w:hAnsi="Arial"/>
          <w:sz w:val="20"/>
          <w:szCs w:val="20"/>
        </w:rPr>
        <w:t xml:space="preserve">Cache correctness: stale data invalidation and refresh</w:t>
      </w:r>
    </w:p>
    <w:p>
      <w:pPr>
        <w:pStyle w:val="ListParagraph"/>
        <w:numPr>
          <w:ilvl w:val="1"/>
          <w:numId w:val="2"/>
        </w:numPr>
        <w:spacing w:after="60" w:before="60"/>
      </w:pPr>
      <w:r>
        <w:rPr>
          <w:rFonts w:ascii="Arial" w:cs="Arial" w:eastAsia="Arial" w:hAnsi="Arial"/>
          <w:sz w:val="20"/>
          <w:szCs w:val="20"/>
        </w:rPr>
        <w:t xml:space="preserve">AI assistant: context builder produces well-formed messages; tool executor returns expected structure</w:t>
      </w:r>
    </w:p>
    <w:p>
      <w:r>
        <w:br w:type="page"/>
      </w:r>
    </w:p>
    <w:p>
      <w:pPr>
        <w:spacing w:after="120" w:before="200"/>
      </w:pPr>
      <w:r>
        <w:rPr>
          <w:rFonts w:ascii="Arial" w:cs="Arial" w:eastAsia="Arial" w:hAnsi="Arial"/>
          <w:b/>
          <w:bCs/>
          <w:color w:val="0D6B72"/>
          <w:sz w:val="24"/>
          <w:szCs w:val="24"/>
        </w:rPr>
        <w:t xml:space="preserve">Phase 5 — Deployment &amp; Hardening  (Week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B72" w:sz="1"/>
              <w:left w:val="single" w:color="0D6B72" w:sz="1"/>
              <w:bottom w:val="single" w:color="0D6B72" w:sz="1"/>
              <w:right w:val="single" w:color="0D6B72" w:sz="1"/>
            </w:tcBorders>
            <w:shd w:fill="D4EDDA" w:val="clear"/>
            <w:tcMar>
              <w:top w:type="dxa" w:w="80"/>
              <w:left w:type="dxa" w:w="160"/>
              <w:bottom w:type="dxa" w:w="80"/>
              <w:right w:type="dxa" w:w="120"/>
            </w:tcMar>
          </w:tcPr>
          <w:p>
            <w:r>
              <w:rPr>
                <w:rFonts w:ascii="Arial" w:cs="Arial" w:eastAsia="Arial" w:hAnsi="Arial"/>
                <w:b/>
                <w:bCs/>
                <w:color w:val="0F2B3D"/>
                <w:sz w:val="20"/>
                <w:szCs w:val="20"/>
              </w:rPr>
              <w:t xml:space="preserve">Deliverable: Live on Render, 500+ tests passing in CI, README and demo credentials published</w:t>
            </w:r>
          </w:p>
        </w:tc>
      </w:tr>
    </w:tbl>
    <w:p>
      <w:pPr>
        <w:spacing w:after="80" w:before="100"/>
      </w:pPr>
    </w:p>
    <w:p>
      <w:pPr>
        <w:pStyle w:val="ListParagraph"/>
        <w:numPr>
          <w:ilvl w:val="0"/>
          <w:numId w:val="2"/>
        </w:numPr>
        <w:spacing w:after="60" w:before="60"/>
      </w:pPr>
      <w:r>
        <w:rPr>
          <w:rFonts w:ascii="Arial" w:cs="Arial" w:eastAsia="Arial" w:hAnsi="Arial"/>
          <w:sz w:val="20"/>
          <w:szCs w:val="20"/>
        </w:rPr>
        <w:t xml:space="preserve">Dockerfile and render.yaml / railway.json; confirm cold-start under 60 seconds</w:t>
      </w:r>
    </w:p>
    <w:p>
      <w:pPr>
        <w:pStyle w:val="ListParagraph"/>
        <w:numPr>
          <w:ilvl w:val="0"/>
          <w:numId w:val="2"/>
        </w:numPr>
        <w:spacing w:after="60" w:before="60"/>
      </w:pPr>
      <w:r>
        <w:rPr>
          <w:rFonts w:ascii="Arial" w:cs="Arial" w:eastAsia="Arial" w:hAnsi="Arial"/>
          <w:sz w:val="20"/>
          <w:szCs w:val="20"/>
        </w:rPr>
        <w:t xml:space="preserve">GitHub Actions CI: run full test suite on every push to main; block merge on failure</w:t>
      </w:r>
    </w:p>
    <w:p>
      <w:pPr>
        <w:pStyle w:val="ListParagraph"/>
        <w:numPr>
          <w:ilvl w:val="0"/>
          <w:numId w:val="2"/>
        </w:numPr>
        <w:spacing w:after="60" w:before="60"/>
      </w:pPr>
      <w:r>
        <w:rPr>
          <w:rFonts w:ascii="Arial" w:cs="Arial" w:eastAsia="Arial" w:hAnsi="Arial"/>
          <w:sz w:val="20"/>
          <w:szCs w:val="20"/>
        </w:rPr>
        <w:t xml:space="preserve">Environment variable management: ANTHROPIC_API_KEY, DATABASE_URL, SECRET_KEY via platform env</w:t>
      </w:r>
    </w:p>
    <w:p>
      <w:pPr>
        <w:pStyle w:val="ListParagraph"/>
        <w:numPr>
          <w:ilvl w:val="0"/>
          <w:numId w:val="2"/>
        </w:numPr>
        <w:spacing w:after="60" w:before="60"/>
      </w:pPr>
      <w:r>
        <w:rPr>
          <w:rFonts w:ascii="Arial" w:cs="Arial" w:eastAsia="Arial" w:hAnsi="Arial"/>
          <w:sz w:val="20"/>
          <w:szCs w:val="20"/>
        </w:rPr>
        <w:t xml:space="preserve">PostgreSQL migration on Render: confirm Alembic applies cleanly on first deploy</w:t>
      </w:r>
    </w:p>
    <w:p>
      <w:pPr>
        <w:pStyle w:val="ListParagraph"/>
        <w:numPr>
          <w:ilvl w:val="0"/>
          <w:numId w:val="2"/>
        </w:numPr>
        <w:spacing w:after="60" w:before="60"/>
      </w:pPr>
      <w:r>
        <w:rPr>
          <w:rFonts w:ascii="Arial" w:cs="Arial" w:eastAsia="Arial" w:hAnsi="Arial"/>
          <w:sz w:val="20"/>
          <w:szCs w:val="20"/>
        </w:rPr>
        <w:t xml:space="preserve">End-to-end smoke tests: automated browser test (pytest + playwright) covering the four primary views</w:t>
      </w:r>
    </w:p>
    <w:p>
      <w:pPr>
        <w:pStyle w:val="ListParagraph"/>
        <w:numPr>
          <w:ilvl w:val="0"/>
          <w:numId w:val="2"/>
        </w:numPr>
        <w:spacing w:after="60" w:before="60"/>
      </w:pPr>
      <w:r>
        <w:rPr>
          <w:rFonts w:ascii="Arial" w:cs="Arial" w:eastAsia="Arial" w:hAnsi="Arial"/>
          <w:sz w:val="20"/>
          <w:szCs w:val="20"/>
        </w:rPr>
        <w:t xml:space="preserve">Security hardening: rate limiting on AI endpoint, input sanitisation on all API endpoints, audit log review</w:t>
      </w:r>
    </w:p>
    <w:p>
      <w:pPr>
        <w:pStyle w:val="ListParagraph"/>
        <w:numPr>
          <w:ilvl w:val="0"/>
          <w:numId w:val="2"/>
        </w:numPr>
        <w:spacing w:after="60" w:before="60"/>
      </w:pPr>
      <w:r>
        <w:rPr>
          <w:rFonts w:ascii="Arial" w:cs="Arial" w:eastAsia="Arial" w:hAnsi="Arial"/>
          <w:sz w:val="20"/>
          <w:szCs w:val="20"/>
        </w:rPr>
        <w:t xml:space="preserve">README: project description, local setup steps, test run command, live URL, demo credentials, architecture diagram</w:t>
      </w:r>
    </w:p>
    <w:p>
      <w:pPr>
        <w:spacing w:after="80" w:before="100"/>
      </w:pPr>
      <w:r>
        <w:rPr>
          <w:rFonts w:ascii="Arial" w:cs="Arial" w:eastAsia="Arial" w:hAnsi="Arial"/>
          <w:b/>
          <w:bCs/>
          <w:color w:val="0D6B72"/>
          <w:sz w:val="20"/>
          <w:szCs w:val="20"/>
        </w:rPr>
        <w:t xml:space="preserve">Test targets: 60 tests (smoke + security + E2E)</w:t>
      </w:r>
    </w:p>
    <w:p>
      <w:pPr>
        <w:spacing w:after="10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0D6B72" w:sz="1"/>
              <w:left w:val="single" w:color="0D6B72" w:sz="1"/>
              <w:bottom w:val="single" w:color="0D6B72" w:sz="1"/>
              <w:right w:val="single" w:color="0D6B72" w:sz="1"/>
            </w:tcBorders>
            <w:shd w:fill="E6F4F5" w:val="clear"/>
            <w:tcMar>
              <w:top w:type="dxa" w:w="100"/>
              <w:left w:type="dxa" w:w="120"/>
              <w:bottom w:type="dxa" w:w="100"/>
              <w:right w:type="dxa" w:w="120"/>
            </w:tcMar>
            <w:vAlign w:val="center"/>
          </w:tcPr>
          <w:p>
            <w:pPr>
              <w:jc w:val="center"/>
            </w:pPr>
            <w:r>
              <w:rPr>
                <w:rFonts w:ascii="Arial" w:cs="Arial" w:eastAsia="Arial" w:hAnsi="Arial"/>
                <w:b/>
                <w:bCs/>
                <w:color w:val="0D6B72"/>
                <w:sz w:val="20"/>
                <w:szCs w:val="20"/>
              </w:rPr>
              <w:t xml:space="preserve">Total</w:t>
            </w:r>
          </w:p>
        </w:tc>
        <w:tc>
          <w:tcPr>
            <w:tcW w:type="dxa" w:w="7920"/>
            <w:tcBorders>
              <w:top w:val="single" w:color="0D6B72" w:sz="1"/>
              <w:left w:val="single" w:color="0D6B72" w:sz="1"/>
              <w:bottom w:val="single" w:color="0D6B72" w:sz="1"/>
              <w:right w:val="single" w:color="0D6B72" w:sz="1"/>
            </w:tcBorders>
            <w:shd w:fill="E6F4F5" w:val="clear"/>
            <w:tcMar>
              <w:top w:type="dxa" w:w="100"/>
              <w:left w:type="dxa" w:w="160"/>
              <w:bottom w:type="dxa" w:w="100"/>
              <w:right w:type="dxa" w:w="120"/>
            </w:tcMar>
          </w:tcPr>
          <w:p>
            <w:r>
              <w:rPr>
                <w:rFonts w:ascii="Arial" w:cs="Arial" w:eastAsia="Arial" w:hAnsi="Arial"/>
                <w:sz w:val="20"/>
                <w:szCs w:val="20"/>
              </w:rPr>
              <w:t xml:space="preserve">500+ automated tests across six layers. Do not begin external outreach until this gate is passed.</w:t>
            </w:r>
          </w:p>
        </w:tc>
      </w:tr>
    </w:tbl>
    <w:p>
      <w:pPr>
        <w:spacing w:after="0" w:before="120"/>
      </w:pPr>
    </w:p>
    <w:p>
      <w:r>
        <w:br w:type="page"/>
      </w:r>
    </w:p>
    <w:p>
      <w:pPr>
        <w:spacing w:after="0" w:before="320"/>
      </w:pPr>
    </w:p>
    <w:p>
      <w:pPr>
        <w:pBdr>
          <w:bottom w:val="single" w:color="0D6B72" w:sz="8" w:space="1"/>
        </w:pBdr>
        <w:spacing w:after="200" w:before="0"/>
      </w:pPr>
      <w:r>
        <w:rPr>
          <w:rFonts w:ascii="Arial" w:cs="Arial" w:eastAsia="Arial" w:hAnsi="Arial"/>
          <w:b/>
          <w:bCs/>
          <w:color w:val="0F2B3D"/>
          <w:sz w:val="32"/>
          <w:szCs w:val="32"/>
        </w:rPr>
        <w:t xml:space="preserve">5  ·  Testing Strategy</w:t>
      </w:r>
    </w:p>
    <w:p>
      <w:pPr>
        <w:spacing w:after="120" w:before="200"/>
      </w:pPr>
      <w:r>
        <w:rPr>
          <w:rFonts w:ascii="Arial" w:cs="Arial" w:eastAsia="Arial" w:hAnsi="Arial"/>
          <w:b/>
          <w:bCs/>
          <w:color w:val="0D6B72"/>
          <w:sz w:val="24"/>
          <w:szCs w:val="24"/>
        </w:rPr>
        <w:t xml:space="preserve">5.1  Test Layer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gridSpan w:val="1"/>
            <w:tcBorders>
              <w:top w:val="single" w:color="CCCCCC" w:sz="1"/>
              <w:left w:val="single" w:color="CCCCCC" w:sz="1"/>
              <w:bottom w:val="single" w:color="CCCCCC" w:sz="1"/>
              <w:right w:val="single" w:color="CCCCCC" w:sz="1"/>
            </w:tcBorders>
            <w:shd w:fill="0D6B72"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600"/>
            <w:gridSpan w:val="1"/>
            <w:tcBorders>
              <w:top w:val="single" w:color="CCCCCC" w:sz="1"/>
              <w:left w:val="single" w:color="CCCCCC" w:sz="1"/>
              <w:bottom w:val="single" w:color="CCCCCC" w:sz="1"/>
              <w:right w:val="single" w:color="CCCCCC" w:sz="1"/>
            </w:tcBorders>
            <w:shd w:fill="0D6B72"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covers</w:t>
            </w:r>
          </w:p>
        </w:tc>
        <w:tc>
          <w:tcPr>
            <w:tcW w:type="dxa" w:w="2600"/>
            <w:gridSpan w:val="1"/>
            <w:tcBorders>
              <w:top w:val="single" w:color="CCCCCC" w:sz="1"/>
              <w:left w:val="single" w:color="CCCCCC" w:sz="1"/>
              <w:bottom w:val="single" w:color="CCCCCC" w:sz="1"/>
              <w:right w:val="single" w:color="CCCCCC" w:sz="1"/>
            </w:tcBorders>
            <w:shd w:fill="0D6B72" w:val="clear"/>
            <w:tcMar>
              <w:top w:type="dxa" w:w="80"/>
              <w:left w:type="dxa" w:w="120"/>
              <w:bottom w:type="dxa" w:w="80"/>
              <w:right w:type="dxa" w:w="120"/>
            </w:tcMar>
            <w:vAlign w:val="center"/>
          </w:tcPr>
          <w:p>
            <w:r>
              <w:rPr>
                <w:rFonts w:ascii="Arial" w:cs="Arial" w:eastAsia="Arial" w:hAnsi="Arial"/>
                <w:b/>
                <w:bCs/>
                <w:color w:val="FFFFFF"/>
                <w:sz w:val="20"/>
                <w:szCs w:val="20"/>
              </w:rPr>
              <w:t xml:space="preserve">Tools</w:t>
            </w:r>
          </w:p>
        </w:tc>
        <w:tc>
          <w:tcPr>
            <w:tcW w:type="dxa" w:w="2600"/>
            <w:gridSpan w:val="1"/>
            <w:tcBorders>
              <w:top w:val="single" w:color="CCCCCC" w:sz="1"/>
              <w:left w:val="single" w:color="CCCCCC" w:sz="1"/>
              <w:bottom w:val="single" w:color="CCCCCC" w:sz="1"/>
              <w:right w:val="single" w:color="CCCCCC" w:sz="1"/>
            </w:tcBorders>
            <w:shd w:fill="0D6B72"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156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Unit</w:t>
            </w:r>
          </w:p>
        </w:tc>
        <w:tc>
          <w:tcPr>
            <w:tcW w:type="dxa" w:w="26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Individual functions in analytics, ML, processing modules</w:t>
            </w:r>
          </w:p>
        </w:tc>
        <w:tc>
          <w:tcPr>
            <w:tcW w:type="dxa" w:w="26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pytest, Faker</w:t>
            </w:r>
          </w:p>
        </w:tc>
        <w:tc>
          <w:tcPr>
            <w:tcW w:type="dxa" w:w="26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200 tests</w:t>
            </w:r>
          </w:p>
        </w:tc>
      </w:tr>
      <w:tr>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Integration</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DB read/write round-trips, seeder correctness, migration</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pytest, SQLAlchemy</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100 tests</w:t>
            </w:r>
          </w:p>
        </w:tc>
      </w:tr>
      <w:tr>
        <w:tc>
          <w:tcPr>
            <w:tcW w:type="dxa" w:w="156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w:t>
            </w:r>
          </w:p>
        </w:tc>
        <w:tc>
          <w:tcPr>
            <w:tcW w:type="dxa" w:w="26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FastAPI endpoints, auth, schema validation</w:t>
            </w:r>
          </w:p>
        </w:tc>
        <w:tc>
          <w:tcPr>
            <w:tcW w:type="dxa" w:w="26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pytest, httpx</w:t>
            </w:r>
          </w:p>
        </w:tc>
        <w:tc>
          <w:tcPr>
            <w:tcW w:type="dxa" w:w="26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100 tests</w:t>
            </w:r>
          </w:p>
        </w:tc>
      </w:tr>
      <w:tr>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Dashboard</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Dash callback logic, cache, URL routing</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pytest, Dash testing</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60 tests</w:t>
            </w:r>
          </w:p>
        </w:tc>
      </w:tr>
      <w:tr>
        <w:tc>
          <w:tcPr>
            <w:tcW w:type="dxa" w:w="156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Analytics</w:t>
            </w:r>
          </w:p>
        </w:tc>
        <w:tc>
          <w:tcPr>
            <w:tcW w:type="dxa" w:w="26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KPI arithmetic, risk score range, NLP precision</w:t>
            </w:r>
          </w:p>
        </w:tc>
        <w:tc>
          <w:tcPr>
            <w:tcW w:type="dxa" w:w="26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pytest, numpy</w:t>
            </w:r>
          </w:p>
        </w:tc>
        <w:tc>
          <w:tcPr>
            <w:tcW w:type="dxa" w:w="26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40 tests</w:t>
            </w:r>
          </w:p>
        </w:tc>
      </w:tr>
      <w:tr>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E2E / Smoke</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Browser-level smoke through four primary views</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pytest-playwright</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 tests</w:t>
            </w:r>
          </w:p>
        </w:tc>
      </w:tr>
      <w:tr>
        <w:tc>
          <w:tcPr>
            <w:tcW w:type="dxa" w:w="1560"/>
            <w:gridSpan w:val="1"/>
            <w:tcBorders>
              <w:top w:val="single" w:color="CCCCCC" w:sz="1"/>
              <w:left w:val="single" w:color="CCCCCC" w:sz="1"/>
              <w:bottom w:val="single" w:color="CCCCCC" w:sz="1"/>
              <w:right w:val="single" w:color="CCCCCC" w:sz="1"/>
            </w:tcBorders>
            <w:shd w:fill="0D6B72" w:val="clear"/>
            <w:tcMar>
              <w:top w:type="dxa" w:w="80"/>
              <w:left w:type="dxa" w:w="120"/>
              <w:bottom w:type="dxa" w:w="80"/>
              <w:right w:type="dxa" w:w="120"/>
            </w:tcMar>
            <w:vAlign w:val="center"/>
          </w:tcPr>
          <w:p>
            <w:r>
              <w:rPr>
                <w:rFonts w:ascii="Arial" w:cs="Arial" w:eastAsia="Arial" w:hAnsi="Arial"/>
                <w:b/>
                <w:bCs/>
                <w:color w:val="FFFFFF"/>
                <w:sz w:val="20"/>
                <w:szCs w:val="20"/>
              </w:rPr>
              <w:t xml:space="preserve">TOTAL</w:t>
            </w:r>
          </w:p>
        </w:tc>
        <w:tc>
          <w:tcPr>
            <w:tcW w:type="dxa" w:w="2600"/>
            <w:gridSpan w:val="1"/>
            <w:tcBorders>
              <w:top w:val="single" w:color="CCCCCC" w:sz="1"/>
              <w:left w:val="single" w:color="CCCCCC" w:sz="1"/>
              <w:bottom w:val="single" w:color="CCCCCC" w:sz="1"/>
              <w:right w:val="single" w:color="CCCCCC" w:sz="1"/>
            </w:tcBorders>
            <w:shd w:fill="0D6B7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0D6B7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0D6B72" w:val="clear"/>
            <w:tcMar>
              <w:top w:type="dxa" w:w="80"/>
              <w:left w:type="dxa" w:w="120"/>
              <w:bottom w:type="dxa" w:w="80"/>
              <w:right w:type="dxa" w:w="120"/>
            </w:tcMar>
            <w:vAlign w:val="center"/>
          </w:tcPr>
          <w:p>
            <w:r>
              <w:rPr>
                <w:rFonts w:ascii="Arial" w:cs="Arial" w:eastAsia="Arial" w:hAnsi="Arial"/>
                <w:b/>
                <w:bCs/>
                <w:color w:val="FFFFFF"/>
                <w:sz w:val="20"/>
                <w:szCs w:val="20"/>
              </w:rPr>
              <w:t xml:space="preserve">520+ tests</w:t>
            </w:r>
          </w:p>
        </w:tc>
      </w:tr>
    </w:tbl>
    <w:p>
      <w:pPr>
        <w:spacing w:after="0" w:before="200"/>
      </w:pPr>
    </w:p>
    <w:p>
      <w:pPr>
        <w:spacing w:after="120" w:before="200"/>
      </w:pPr>
      <w:r>
        <w:rPr>
          <w:rFonts w:ascii="Arial" w:cs="Arial" w:eastAsia="Arial" w:hAnsi="Arial"/>
          <w:b/>
          <w:bCs/>
          <w:color w:val="0D6B72"/>
          <w:sz w:val="24"/>
          <w:szCs w:val="24"/>
        </w:rPr>
        <w:t xml:space="preserve">5.2  Test Conventions</w:t>
      </w:r>
    </w:p>
    <w:p>
      <w:pPr>
        <w:pStyle w:val="ListParagraph"/>
        <w:numPr>
          <w:ilvl w:val="0"/>
          <w:numId w:val="2"/>
        </w:numPr>
        <w:spacing w:after="60" w:before="60"/>
      </w:pPr>
      <w:r>
        <w:rPr>
          <w:rFonts w:ascii="Arial" w:cs="Arial" w:eastAsia="Arial" w:hAnsi="Arial"/>
          <w:sz w:val="20"/>
          <w:szCs w:val="20"/>
        </w:rPr>
        <w:t xml:space="preserve">All tests in tests/ mirroring cliniq/ module structure: tests/test_analytics/, tests/test_api/, etc.</w:t>
      </w:r>
    </w:p>
    <w:p>
      <w:pPr>
        <w:pStyle w:val="ListParagraph"/>
        <w:numPr>
          <w:ilvl w:val="0"/>
          <w:numId w:val="2"/>
        </w:numPr>
        <w:spacing w:after="60" w:before="60"/>
      </w:pPr>
      <w:r>
        <w:rPr>
          <w:rFonts w:ascii="Arial" w:cs="Arial" w:eastAsia="Arial" w:hAnsi="Arial"/>
          <w:sz w:val="20"/>
          <w:szCs w:val="20"/>
        </w:rPr>
        <w:t xml:space="preserve">Fixtures in conftest.py: in-memory SQLite engine, seeded with minimal fixture data (3 sites, 30 days)</w:t>
      </w:r>
    </w:p>
    <w:p>
      <w:pPr>
        <w:pStyle w:val="ListParagraph"/>
        <w:numPr>
          <w:ilvl w:val="0"/>
          <w:numId w:val="2"/>
        </w:numPr>
        <w:spacing w:after="60" w:before="60"/>
      </w:pPr>
      <w:r>
        <w:rPr>
          <w:rFonts w:ascii="Arial" w:cs="Arial" w:eastAsia="Arial" w:hAnsi="Arial"/>
          <w:sz w:val="20"/>
          <w:szCs w:val="20"/>
        </w:rPr>
        <w:t xml:space="preserve">No test should depend on external network calls — Claude API calls mocked with pytest-mock</w:t>
      </w:r>
    </w:p>
    <w:p>
      <w:pPr>
        <w:pStyle w:val="ListParagraph"/>
        <w:numPr>
          <w:ilvl w:val="0"/>
          <w:numId w:val="2"/>
        </w:numPr>
        <w:spacing w:after="60" w:before="60"/>
      </w:pPr>
      <w:r>
        <w:rPr>
          <w:rFonts w:ascii="Arial" w:cs="Arial" w:eastAsia="Arial" w:hAnsi="Arial"/>
          <w:sz w:val="20"/>
          <w:szCs w:val="20"/>
        </w:rPr>
        <w:t xml:space="preserve">Coverage target: 85% across analytics and ml modules; lower threshold acceptable for dashboard callbacks</w:t>
      </w:r>
    </w:p>
    <w:p>
      <w:pPr>
        <w:pStyle w:val="ListParagraph"/>
        <w:numPr>
          <w:ilvl w:val="0"/>
          <w:numId w:val="2"/>
        </w:numPr>
        <w:spacing w:after="60" w:before="60"/>
      </w:pPr>
      <w:r>
        <w:rPr>
          <w:rFonts w:ascii="Arial" w:cs="Arial" w:eastAsia="Arial" w:hAnsi="Arial"/>
          <w:sz w:val="20"/>
          <w:szCs w:val="20"/>
        </w:rPr>
        <w:t xml:space="preserve">CI: pytest runs on push to main and on every PR; coverage report published as GitHub Actions artefact</w:t>
      </w:r>
    </w:p>
    <w:p>
      <w:pPr>
        <w:spacing w:after="0" w:before="120"/>
      </w:pPr>
    </w:p>
    <w:p>
      <w:r>
        <w:br w:type="page"/>
      </w:r>
    </w:p>
    <w:p>
      <w:pPr>
        <w:spacing w:after="0" w:before="320"/>
      </w:pPr>
    </w:p>
    <w:p>
      <w:pPr>
        <w:pBdr>
          <w:bottom w:val="single" w:color="0D6B72" w:sz="8" w:space="1"/>
        </w:pBdr>
        <w:spacing w:after="200" w:before="0"/>
      </w:pPr>
      <w:r>
        <w:rPr>
          <w:rFonts w:ascii="Arial" w:cs="Arial" w:eastAsia="Arial" w:hAnsi="Arial"/>
          <w:b/>
          <w:bCs/>
          <w:color w:val="0F2B3D"/>
          <w:sz w:val="32"/>
          <w:szCs w:val="32"/>
        </w:rPr>
        <w:t xml:space="preserve">6  ·  Go-to-Market Strategy</w:t>
      </w:r>
    </w:p>
    <w:p>
      <w:pPr>
        <w:spacing w:after="120" w:before="200"/>
      </w:pPr>
      <w:r>
        <w:rPr>
          <w:rFonts w:ascii="Arial" w:cs="Arial" w:eastAsia="Arial" w:hAnsi="Arial"/>
          <w:b/>
          <w:bCs/>
          <w:color w:val="0D6B72"/>
          <w:sz w:val="24"/>
          <w:szCs w:val="24"/>
        </w:rPr>
        <w:t xml:space="preserve">6.1  Positioning</w:t>
      </w:r>
    </w:p>
    <w:p>
      <w:pPr>
        <w:spacing w:after="120" w:before="0"/>
      </w:pPr>
      <w:r>
        <w:rPr>
          <w:rFonts w:ascii="Arial" w:cs="Arial" w:eastAsia="Arial" w:hAnsi="Arial"/>
          <w:b w:val="false"/>
          <w:bCs w:val="false"/>
          <w:color w:val="000000"/>
          <w:sz w:val="22"/>
          <w:szCs w:val="22"/>
        </w:rPr>
        <w:t xml:space="preserve">ClinIQ is positioned as the intelligence layer for clinical operations teams that already use an EDC (Medidata, Rave, OpenClinica) but lack a dedicated performance monitoring view across their site portfolio. It is not a replacement for CTMS — it is a complement that surfaces risk earlier and produces audit-ready outputs.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0D6B72" w:sz="1"/>
              <w:left w:val="single" w:color="0D6B72" w:sz="1"/>
              <w:bottom w:val="single" w:color="0D6B72" w:sz="1"/>
              <w:right w:val="single" w:color="0D6B72" w:sz="1"/>
            </w:tcBorders>
            <w:shd w:fill="E6F4F5" w:val="clear"/>
            <w:tcMar>
              <w:top w:type="dxa" w:w="100"/>
              <w:left w:type="dxa" w:w="120"/>
              <w:bottom w:type="dxa" w:w="100"/>
              <w:right w:type="dxa" w:w="120"/>
            </w:tcMar>
            <w:vAlign w:val="center"/>
          </w:tcPr>
          <w:p>
            <w:pPr>
              <w:jc w:val="center"/>
            </w:pPr>
            <w:r>
              <w:rPr>
                <w:rFonts w:ascii="Arial" w:cs="Arial" w:eastAsia="Arial" w:hAnsi="Arial"/>
                <w:b/>
                <w:bCs/>
                <w:color w:val="0D6B72"/>
                <w:sz w:val="20"/>
                <w:szCs w:val="20"/>
              </w:rPr>
              <w:t xml:space="preserve">Positioning</w:t>
            </w:r>
          </w:p>
        </w:tc>
        <w:tc>
          <w:tcPr>
            <w:tcW w:type="dxa" w:w="7920"/>
            <w:tcBorders>
              <w:top w:val="single" w:color="0D6B72" w:sz="1"/>
              <w:left w:val="single" w:color="0D6B72" w:sz="1"/>
              <w:bottom w:val="single" w:color="0D6B72" w:sz="1"/>
              <w:right w:val="single" w:color="0D6B72" w:sz="1"/>
            </w:tcBorders>
            <w:shd w:fill="E6F4F5" w:val="clear"/>
            <w:tcMar>
              <w:top w:type="dxa" w:w="100"/>
              <w:left w:type="dxa" w:w="160"/>
              <w:bottom w:type="dxa" w:w="100"/>
              <w:right w:type="dxa" w:w="120"/>
            </w:tcMar>
          </w:tcPr>
          <w:p>
            <w:r>
              <w:rPr>
                <w:rFonts w:ascii="Arial" w:cs="Arial" w:eastAsia="Arial" w:hAnsi="Arial"/>
                <w:sz w:val="20"/>
                <w:szCs w:val="20"/>
              </w:rPr>
              <w:t xml:space="preserve">"The performance intelligence layer your CTMS doesn’t have — built for CROs who move faster than enterprise software."</w:t>
            </w:r>
          </w:p>
        </w:tc>
      </w:tr>
    </w:tbl>
    <w:p>
      <w:pPr>
        <w:spacing w:after="0" w:before="160"/>
      </w:pPr>
    </w:p>
    <w:p>
      <w:pPr>
        <w:spacing w:after="120" w:before="200"/>
      </w:pPr>
      <w:r>
        <w:rPr>
          <w:rFonts w:ascii="Arial" w:cs="Arial" w:eastAsia="Arial" w:hAnsi="Arial"/>
          <w:b/>
          <w:bCs/>
          <w:color w:val="0D6B72"/>
          <w:sz w:val="24"/>
          <w:szCs w:val="24"/>
        </w:rPr>
        <w:t xml:space="preserve">6.2  Primary Channel: OEM / White-Label</w:t>
      </w:r>
    </w:p>
    <w:p>
      <w:pPr>
        <w:spacing w:after="120" w:before="0"/>
      </w:pPr>
      <w:r>
        <w:rPr>
          <w:rFonts w:ascii="Arial" w:cs="Arial" w:eastAsia="Arial" w:hAnsi="Arial"/>
          <w:b w:val="false"/>
          <w:bCs w:val="false"/>
          <w:color w:val="000000"/>
          <w:sz w:val="22"/>
          <w:szCs w:val="22"/>
        </w:rPr>
        <w:t xml:space="preserve">The same OEM route that underpins VoltEdge applies here. A mid-market CRO (30–80 staff) cannot build or maintain a bespoke data platform but can absolutely resell one under their own brand to their biotech sponsor clients. ClinIQ is licenced to the CRO as a platform, who may optionally white-label it as their own clinical intelligence product.</w:t>
      </w:r>
    </w:p>
    <w:p>
      <w:pPr>
        <w:pStyle w:val="ListParagraph"/>
        <w:numPr>
          <w:ilvl w:val="0"/>
          <w:numId w:val="2"/>
        </w:numPr>
        <w:spacing w:after="60" w:before="60"/>
      </w:pPr>
      <w:r>
        <w:rPr>
          <w:rFonts w:ascii="Arial" w:cs="Arial" w:eastAsia="Arial" w:hAnsi="Arial"/>
          <w:sz w:val="20"/>
          <w:szCs w:val="20"/>
        </w:rPr>
        <w:t xml:space="preserve">Platform licence: £800–1,500/month depending on number of active trials and sites</w:t>
      </w:r>
    </w:p>
    <w:p>
      <w:pPr>
        <w:pStyle w:val="ListParagraph"/>
        <w:numPr>
          <w:ilvl w:val="0"/>
          <w:numId w:val="2"/>
        </w:numPr>
        <w:spacing w:after="60" w:before="60"/>
      </w:pPr>
      <w:r>
        <w:rPr>
          <w:rFonts w:ascii="Arial" w:cs="Arial" w:eastAsia="Arial" w:hAnsi="Arial"/>
          <w:sz w:val="20"/>
          <w:szCs w:val="20"/>
        </w:rPr>
        <w:t xml:space="preserve">White-label fee: £300/month additional for custom branding, subdomain, and removal of ClinIQ branding</w:t>
      </w:r>
    </w:p>
    <w:p>
      <w:pPr>
        <w:pStyle w:val="ListParagraph"/>
        <w:numPr>
          <w:ilvl w:val="0"/>
          <w:numId w:val="2"/>
        </w:numPr>
        <w:spacing w:after="60" w:before="60"/>
      </w:pPr>
      <w:r>
        <w:rPr>
          <w:rFonts w:ascii="Arial" w:cs="Arial" w:eastAsia="Arial" w:hAnsi="Arial"/>
          <w:sz w:val="20"/>
          <w:szCs w:val="20"/>
        </w:rPr>
        <w:t xml:space="preserve">Onboarding: 2-hour setup call + CSV import from existing EDC exports; no API integration required for v1</w:t>
      </w:r>
    </w:p>
    <w:p>
      <w:pPr>
        <w:spacing w:after="0" w:before="160"/>
      </w:pPr>
    </w:p>
    <w:p>
      <w:pPr>
        <w:spacing w:after="120" w:before="200"/>
      </w:pPr>
      <w:r>
        <w:rPr>
          <w:rFonts w:ascii="Arial" w:cs="Arial" w:eastAsia="Arial" w:hAnsi="Arial"/>
          <w:b/>
          <w:bCs/>
          <w:color w:val="0D6B72"/>
          <w:sz w:val="24"/>
          <w:szCs w:val="24"/>
        </w:rPr>
        <w:t xml:space="preserve">6.3  Target Accounts (First 10)</w:t>
      </w:r>
    </w:p>
    <w:p>
      <w:pPr>
        <w:spacing w:after="120" w:before="0"/>
      </w:pPr>
      <w:r>
        <w:rPr>
          <w:rFonts w:ascii="Arial" w:cs="Arial" w:eastAsia="Arial" w:hAnsi="Arial"/>
          <w:b w:val="false"/>
          <w:bCs w:val="false"/>
          <w:color w:val="000000"/>
          <w:sz w:val="22"/>
          <w:szCs w:val="22"/>
        </w:rPr>
        <w:t xml:space="preserve">These are the profile criteria for the initial outreach list — to be built from LinkedIn, MHRA clinical trials register, and ClinicalTrials.gov after the product is complete and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gridSpan w:val="1"/>
            <w:tcBorders>
              <w:top w:val="single" w:color="CCCCCC" w:sz="1"/>
              <w:left w:val="single" w:color="CCCCCC" w:sz="1"/>
              <w:bottom w:val="single" w:color="CCCCCC" w:sz="1"/>
              <w:right w:val="single" w:color="CCCCCC" w:sz="1"/>
            </w:tcBorders>
            <w:shd w:fill="0D6B72"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Criteria</w:t>
            </w:r>
          </w:p>
        </w:tc>
        <w:tc>
          <w:tcPr>
            <w:tcW w:type="dxa" w:w="3510"/>
            <w:gridSpan w:val="1"/>
            <w:tcBorders>
              <w:top w:val="single" w:color="CCCCCC" w:sz="1"/>
              <w:left w:val="single" w:color="CCCCCC" w:sz="1"/>
              <w:bottom w:val="single" w:color="CCCCCC" w:sz="1"/>
              <w:right w:val="single" w:color="CCCCCC" w:sz="1"/>
            </w:tcBorders>
            <w:shd w:fill="0D6B72" w:val="clear"/>
            <w:tcMar>
              <w:top w:type="dxa" w:w="80"/>
              <w:left w:type="dxa" w:w="120"/>
              <w:bottom w:type="dxa" w:w="80"/>
              <w:right w:type="dxa" w:w="120"/>
            </w:tcMar>
            <w:vAlign w:val="center"/>
          </w:tcPr>
          <w:p>
            <w:r>
              <w:rPr>
                <w:rFonts w:ascii="Arial" w:cs="Arial" w:eastAsia="Arial" w:hAnsi="Arial"/>
                <w:b/>
                <w:bCs/>
                <w:color w:val="FFFFFF"/>
                <w:sz w:val="20"/>
                <w:szCs w:val="20"/>
              </w:rPr>
              <w:t xml:space="preserve">Tier 1 (ideal)</w:t>
            </w:r>
          </w:p>
        </w:tc>
        <w:tc>
          <w:tcPr>
            <w:tcW w:type="dxa" w:w="3510"/>
            <w:gridSpan w:val="1"/>
            <w:tcBorders>
              <w:top w:val="single" w:color="CCCCCC" w:sz="1"/>
              <w:left w:val="single" w:color="CCCCCC" w:sz="1"/>
              <w:bottom w:val="single" w:color="CCCCCC" w:sz="1"/>
              <w:right w:val="single" w:color="CCCCCC" w:sz="1"/>
            </w:tcBorders>
            <w:shd w:fill="0D6B72" w:val="clear"/>
            <w:tcMar>
              <w:top w:type="dxa" w:w="80"/>
              <w:left w:type="dxa" w:w="120"/>
              <w:bottom w:type="dxa" w:w="80"/>
              <w:right w:type="dxa" w:w="120"/>
            </w:tcMar>
            <w:vAlign w:val="center"/>
          </w:tcPr>
          <w:p>
            <w:r>
              <w:rPr>
                <w:rFonts w:ascii="Arial" w:cs="Arial" w:eastAsia="Arial" w:hAnsi="Arial"/>
                <w:b/>
                <w:bCs/>
                <w:color w:val="FFFFFF"/>
                <w:sz w:val="20"/>
                <w:szCs w:val="20"/>
              </w:rPr>
              <w:t xml:space="preserve">Tier 2 (reachable)</w:t>
            </w:r>
          </w:p>
        </w:tc>
      </w:tr>
      <w:tr>
        <w:tc>
          <w:tcPr>
            <w:tcW w:type="dxa" w:w="234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Size</w:t>
            </w:r>
          </w:p>
        </w:tc>
        <w:tc>
          <w:tcPr>
            <w:tcW w:type="dxa" w:w="351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20–60 staff CRO, UK-based HQ</w:t>
            </w:r>
          </w:p>
        </w:tc>
        <w:tc>
          <w:tcPr>
            <w:tcW w:type="dxa" w:w="351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EU-based CRO with UK trials</w:t>
            </w:r>
          </w:p>
        </w:tc>
      </w:tr>
      <w:tr>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Trial volume</w:t>
            </w:r>
          </w:p>
        </w:tc>
        <w:tc>
          <w:tcPr>
            <w:tcW w:type="dxa" w:w="351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10–30 concurrent trials</w:t>
            </w:r>
          </w:p>
        </w:tc>
        <w:tc>
          <w:tcPr>
            <w:tcW w:type="dxa" w:w="351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5–10 concurrent trials</w:t>
            </w:r>
          </w:p>
        </w:tc>
      </w:tr>
      <w:tr>
        <w:tc>
          <w:tcPr>
            <w:tcW w:type="dxa" w:w="234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focus</w:t>
            </w:r>
          </w:p>
        </w:tc>
        <w:tc>
          <w:tcPr>
            <w:tcW w:type="dxa" w:w="351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I–III, mixed therapeutic areas</w:t>
            </w:r>
          </w:p>
        </w:tc>
        <w:tc>
          <w:tcPr>
            <w:tcW w:type="dxa" w:w="351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I only, single TA</w:t>
            </w:r>
          </w:p>
        </w:tc>
      </w:tr>
      <w:tr>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Tech posture</w:t>
            </w:r>
          </w:p>
        </w:tc>
        <w:tc>
          <w:tcPr>
            <w:tcW w:type="dxa" w:w="351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Uses Medidata or OpenClinica; no bespoke BI</w:t>
            </w:r>
          </w:p>
        </w:tc>
        <w:tc>
          <w:tcPr>
            <w:tcW w:type="dxa" w:w="351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Manual EDC exports to Excel</w:t>
            </w:r>
          </w:p>
        </w:tc>
      </w:tr>
      <w:tr>
        <w:tc>
          <w:tcPr>
            <w:tcW w:type="dxa" w:w="234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Decision maker</w:t>
            </w:r>
          </w:p>
        </w:tc>
        <w:tc>
          <w:tcPr>
            <w:tcW w:type="dxa" w:w="351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VP Clinical Operations or Head of Data Management</w:t>
            </w:r>
          </w:p>
        </w:tc>
        <w:tc>
          <w:tcPr>
            <w:tcW w:type="dxa" w:w="351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Director of Clinical Affairs</w:t>
            </w:r>
          </w:p>
        </w:tc>
      </w:tr>
    </w:tbl>
    <w:p>
      <w:pPr>
        <w:spacing w:after="0" w:before="160"/>
      </w:pPr>
    </w:p>
    <w:p>
      <w:pPr>
        <w:spacing w:after="120" w:before="200"/>
      </w:pPr>
      <w:r>
        <w:rPr>
          <w:rFonts w:ascii="Arial" w:cs="Arial" w:eastAsia="Arial" w:hAnsi="Arial"/>
          <w:b/>
          <w:bCs/>
          <w:color w:val="0D6B72"/>
          <w:sz w:val="24"/>
          <w:szCs w:val="24"/>
        </w:rPr>
        <w:t xml:space="preserve">6.4  Outreach Sequence (Post-Completion)</w:t>
      </w:r>
    </w:p>
    <w:p>
      <w:pPr>
        <w:pStyle w:val="ListParagraph"/>
        <w:numPr>
          <w:ilvl w:val="0"/>
          <w:numId w:val="3"/>
        </w:numPr>
        <w:spacing w:after="60" w:before="60"/>
      </w:pPr>
      <w:r>
        <w:rPr>
          <w:rFonts w:ascii="Arial" w:cs="Arial" w:eastAsia="Arial" w:hAnsi="Arial"/>
          <w:sz w:val="20"/>
          <w:szCs w:val="20"/>
        </w:rPr>
        <w:t xml:space="preserve">Publish live demo on Render with pre-seeded trial data and demo credentials</w:t>
      </w:r>
    </w:p>
    <w:p>
      <w:pPr>
        <w:pStyle w:val="ListParagraph"/>
        <w:numPr>
          <w:ilvl w:val="0"/>
          <w:numId w:val="3"/>
        </w:numPr>
        <w:spacing w:after="60" w:before="60"/>
      </w:pPr>
      <w:r>
        <w:rPr>
          <w:rFonts w:ascii="Arial" w:cs="Arial" w:eastAsia="Arial" w:hAnsi="Arial"/>
          <w:sz w:val="20"/>
          <w:szCs w:val="20"/>
        </w:rPr>
        <w:t xml:space="preserve">Write a 1,000-word LinkedIn article: “Why mid-market CROs are flying blind on site performance” — no product pitch, purely analytical</w:t>
      </w:r>
    </w:p>
    <w:p>
      <w:pPr>
        <w:pStyle w:val="ListParagraph"/>
        <w:numPr>
          <w:ilvl w:val="0"/>
          <w:numId w:val="3"/>
        </w:numPr>
        <w:spacing w:after="60" w:before="60"/>
      </w:pPr>
      <w:r>
        <w:rPr>
          <w:rFonts w:ascii="Arial" w:cs="Arial" w:eastAsia="Arial" w:hAnsi="Arial"/>
          <w:sz w:val="20"/>
          <w:szCs w:val="20"/>
        </w:rPr>
        <w:t xml:space="preserve">Build target account list (20 CROs) from MHRA register and ClinicalTrials.gov UK sponsors</w:t>
      </w:r>
    </w:p>
    <w:p>
      <w:pPr>
        <w:pStyle w:val="ListParagraph"/>
        <w:numPr>
          <w:ilvl w:val="0"/>
          <w:numId w:val="3"/>
        </w:numPr>
        <w:spacing w:after="60" w:before="60"/>
      </w:pPr>
      <w:r>
        <w:rPr>
          <w:rFonts w:ascii="Arial" w:cs="Arial" w:eastAsia="Arial" w:hAnsi="Arial"/>
          <w:sz w:val="20"/>
          <w:szCs w:val="20"/>
        </w:rPr>
        <w:t xml:space="preserve">Personalised cold outreach to VP Clinical Ops: one paragraph on their specific trial footprint, link to live demo</w:t>
      </w:r>
    </w:p>
    <w:p>
      <w:pPr>
        <w:pStyle w:val="ListParagraph"/>
        <w:numPr>
          <w:ilvl w:val="0"/>
          <w:numId w:val="3"/>
        </w:numPr>
        <w:spacing w:after="60" w:before="60"/>
      </w:pPr>
      <w:r>
        <w:rPr>
          <w:rFonts w:ascii="Arial" w:cs="Arial" w:eastAsia="Arial" w:hAnsi="Arial"/>
          <w:sz w:val="20"/>
          <w:szCs w:val="20"/>
        </w:rPr>
        <w:t xml:space="preserve">Offer a 30-minute no-prep demo call + 30-day free pilot on their own CSV data</w:t>
      </w:r>
    </w:p>
    <w:p>
      <w:pPr>
        <w:pStyle w:val="ListParagraph"/>
        <w:numPr>
          <w:ilvl w:val="0"/>
          <w:numId w:val="3"/>
        </w:numPr>
        <w:spacing w:after="60" w:before="60"/>
      </w:pPr>
      <w:r>
        <w:rPr>
          <w:rFonts w:ascii="Arial" w:cs="Arial" w:eastAsia="Arial" w:hAnsi="Arial"/>
          <w:sz w:val="20"/>
          <w:szCs w:val="20"/>
        </w:rPr>
        <w:t xml:space="preserve">Convert pilot to paid licence; use first paying client as case study for next cohort</w:t>
      </w:r>
    </w:p>
    <w:p>
      <w:pPr>
        <w:spacing w:after="0" w:before="120"/>
      </w:pPr>
    </w:p>
    <w:p>
      <w:r>
        <w:br w:type="page"/>
      </w:r>
    </w:p>
    <w:p>
      <w:pPr>
        <w:spacing w:after="0" w:before="320"/>
      </w:pPr>
    </w:p>
    <w:p>
      <w:pPr>
        <w:pBdr>
          <w:bottom w:val="single" w:color="0D6B72" w:sz="8" w:space="1"/>
        </w:pBdr>
        <w:spacing w:after="200" w:before="0"/>
      </w:pPr>
      <w:r>
        <w:rPr>
          <w:rFonts w:ascii="Arial" w:cs="Arial" w:eastAsia="Arial" w:hAnsi="Arial"/>
          <w:b/>
          <w:bCs/>
          <w:color w:val="0F2B3D"/>
          <w:sz w:val="32"/>
          <w:szCs w:val="32"/>
        </w:rPr>
        <w:t xml:space="preserve">7  ·  Regulatory &amp; Legal Review</w:t>
      </w:r>
    </w:p>
    <w:p>
      <w:pPr>
        <w:spacing w:after="120" w:before="200"/>
      </w:pPr>
      <w:r>
        <w:rPr>
          <w:rFonts w:ascii="Arial" w:cs="Arial" w:eastAsia="Arial" w:hAnsi="Arial"/>
          <w:b/>
          <w:bCs/>
          <w:color w:val="0D6B72"/>
          <w:sz w:val="24"/>
          <w:szCs w:val="24"/>
        </w:rPr>
        <w:t xml:space="preserve">7.1  Applicable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gridSpan w:val="1"/>
            <w:tcBorders>
              <w:top w:val="single" w:color="CCCCCC" w:sz="1"/>
              <w:left w:val="single" w:color="CCCCCC" w:sz="1"/>
              <w:bottom w:val="single" w:color="CCCCCC" w:sz="1"/>
              <w:right w:val="single" w:color="CCCCCC" w:sz="1"/>
            </w:tcBorders>
            <w:shd w:fill="0D6B72" w:val="clear"/>
            <w:tcMar>
              <w:top w:type="dxa" w:w="80"/>
              <w:left w:type="dxa" w:w="120"/>
              <w:bottom w:type="dxa" w:w="80"/>
              <w:right w:type="dxa" w:w="120"/>
            </w:tcMar>
            <w:vAlign w:val="center"/>
          </w:tcPr>
          <w:p>
            <w:r>
              <w:rPr>
                <w:rFonts w:ascii="Arial" w:cs="Arial" w:eastAsia="Arial" w:hAnsi="Arial"/>
                <w:b/>
                <w:bCs/>
                <w:color w:val="FFFFFF"/>
                <w:sz w:val="20"/>
                <w:szCs w:val="20"/>
              </w:rPr>
              <w:t xml:space="preserve">Framework</w:t>
            </w:r>
          </w:p>
        </w:tc>
        <w:tc>
          <w:tcPr>
            <w:tcW w:type="dxa" w:w="6760"/>
            <w:gridSpan w:val="1"/>
            <w:tcBorders>
              <w:top w:val="single" w:color="CCCCCC" w:sz="1"/>
              <w:left w:val="single" w:color="CCCCCC" w:sz="1"/>
              <w:bottom w:val="single" w:color="CCCCCC" w:sz="1"/>
              <w:right w:val="single" w:color="CCCCCC" w:sz="1"/>
            </w:tcBorders>
            <w:shd w:fill="0D6B72" w:val="clear"/>
            <w:tcMar>
              <w:top w:type="dxa" w:w="80"/>
              <w:left w:type="dxa" w:w="120"/>
              <w:bottom w:type="dxa" w:w="80"/>
              <w:right w:type="dxa" w:w="120"/>
            </w:tcMar>
            <w:vAlign w:val="center"/>
          </w:tcPr>
          <w:p>
            <w:r>
              <w:rPr>
                <w:rFonts w:ascii="Arial" w:cs="Arial" w:eastAsia="Arial" w:hAnsi="Arial"/>
                <w:b/>
                <w:bCs/>
                <w:color w:val="FFFFFF"/>
                <w:sz w:val="20"/>
                <w:szCs w:val="20"/>
              </w:rPr>
              <w:t xml:space="preserve">Relevance to ClinIQ</w:t>
            </w:r>
          </w:p>
        </w:tc>
      </w:tr>
      <w:tr>
        <w:tc>
          <w:tcPr>
            <w:tcW w:type="dxa" w:w="26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ICH E6(R3) GCP</w:t>
            </w:r>
          </w:p>
        </w:tc>
        <w:tc>
          <w:tcPr>
            <w:tcW w:type="dxa" w:w="676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Governs trial conduct and data integrity. ClinIQ must maintain an immutable audit trail of all data access and computations to satisfy GCP’s audit trail requirements.</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MHRA RBM Guidance</w:t>
            </w:r>
          </w:p>
        </w:tc>
        <w:tc>
          <w:tcPr>
            <w:tcW w:type="dxa" w:w="6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UK guidance on Risk-Based Monitoring. ClinIQ’s risk score and watchlist view directly operationalise the RBM framework — a selling point, not just a compliance note.</w:t>
            </w:r>
          </w:p>
        </w:tc>
      </w:tr>
      <w:tr>
        <w:tc>
          <w:tcPr>
            <w:tcW w:type="dxa" w:w="26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EU CTR 536/2014</w:t>
            </w:r>
          </w:p>
        </w:tc>
        <w:tc>
          <w:tcPr>
            <w:tcW w:type="dxa" w:w="676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EU Clinical Trials Regulation governing trial authorisation and transparency. ClinIQ does not submit to CTIS, but must be able to produce data in formats compatible with sponsor reporting obligations.</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UK GDPR / DPA 2018</w:t>
            </w:r>
          </w:p>
        </w:tc>
        <w:tc>
          <w:tcPr>
            <w:tcW w:type="dxa" w:w="6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Patient data is pseudonymised in ClinIQ (patient_id is an opaque hash; no names, DOBs, or NHS numbers stored). Processing of pseudonymous clinical data still requires a DPIA and a lawful basis.</w:t>
            </w:r>
          </w:p>
        </w:tc>
      </w:tr>
      <w:tr>
        <w:tc>
          <w:tcPr>
            <w:tcW w:type="dxa" w:w="26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21 CFR Part 11 (FDA)</w:t>
            </w:r>
          </w:p>
        </w:tc>
        <w:tc>
          <w:tcPr>
            <w:tcW w:type="dxa" w:w="676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 regulation for electronic records in clinical trials. Not mandatory for UK/EU-only trials, but US-partnered sponsors may require it. The audit log and JWT-based electronic signature layer provides the foundation.</w:t>
            </w:r>
          </w:p>
        </w:tc>
      </w:tr>
    </w:tbl>
    <w:p>
      <w:pPr>
        <w:spacing w:after="0" w:before="200"/>
      </w:pPr>
    </w:p>
    <w:p>
      <w:pPr>
        <w:spacing w:after="120" w:before="200"/>
      </w:pPr>
      <w:r>
        <w:rPr>
          <w:rFonts w:ascii="Arial" w:cs="Arial" w:eastAsia="Arial" w:hAnsi="Arial"/>
          <w:b/>
          <w:bCs/>
          <w:color w:val="0D6B72"/>
          <w:sz w:val="24"/>
          <w:szCs w:val="24"/>
        </w:rPr>
        <w:t xml:space="preserve">7.2  Key Implementation Requirements</w:t>
      </w:r>
    </w:p>
    <w:p>
      <w:pPr>
        <w:pStyle w:val="ListParagraph"/>
        <w:numPr>
          <w:ilvl w:val="0"/>
          <w:numId w:val="2"/>
        </w:numPr>
        <w:spacing w:after="60" w:before="60"/>
      </w:pPr>
      <w:r>
        <w:rPr>
          <w:rFonts w:ascii="Arial" w:cs="Arial" w:eastAsia="Arial" w:hAnsi="Arial"/>
          <w:sz w:val="20"/>
          <w:szCs w:val="20"/>
        </w:rPr>
        <w:t xml:space="preserve">Audit log: every read and write event logged with timestamp, user ID, role, and action — immutable (no UPDATE or DELETE on audit_log table)</w:t>
      </w:r>
    </w:p>
    <w:p>
      <w:pPr>
        <w:pStyle w:val="ListParagraph"/>
        <w:numPr>
          <w:ilvl w:val="0"/>
          <w:numId w:val="2"/>
        </w:numPr>
        <w:spacing w:after="60" w:before="60"/>
      </w:pPr>
      <w:r>
        <w:rPr>
          <w:rFonts w:ascii="Arial" w:cs="Arial" w:eastAsia="Arial" w:hAnsi="Arial"/>
          <w:sz w:val="20"/>
          <w:szCs w:val="20"/>
        </w:rPr>
        <w:t xml:space="preserve">Pseudonymisation: patient_id stored as a SHA-256 hash of the sponsor’s internal patient code; no identifiable fields in any ClinIQ table</w:t>
      </w:r>
    </w:p>
    <w:p>
      <w:pPr>
        <w:pStyle w:val="ListParagraph"/>
        <w:numPr>
          <w:ilvl w:val="0"/>
          <w:numId w:val="2"/>
        </w:numPr>
        <w:spacing w:after="60" w:before="60"/>
      </w:pPr>
      <w:r>
        <w:rPr>
          <w:rFonts w:ascii="Arial" w:cs="Arial" w:eastAsia="Arial" w:hAnsi="Arial"/>
          <w:sz w:val="20"/>
          <w:szCs w:val="20"/>
        </w:rPr>
        <w:t xml:space="preserve">Data Processing Agreement (DPA): required before any CRO onboarding; template DPA to be drafted covering pseudonymous clinical trial data</w:t>
      </w:r>
    </w:p>
    <w:p>
      <w:pPr>
        <w:pStyle w:val="ListParagraph"/>
        <w:numPr>
          <w:ilvl w:val="0"/>
          <w:numId w:val="2"/>
        </w:numPr>
        <w:spacing w:after="60" w:before="60"/>
      </w:pPr>
      <w:r>
        <w:rPr>
          <w:rFonts w:ascii="Arial" w:cs="Arial" w:eastAsia="Arial" w:hAnsi="Arial"/>
          <w:sz w:val="20"/>
          <w:szCs w:val="20"/>
        </w:rPr>
        <w:t xml:space="preserve">DPIA (Data Protection Impact Assessment): required prior to commercial launch; document data flows, retention periods, and pseudonymisation approach</w:t>
      </w:r>
    </w:p>
    <w:p>
      <w:pPr>
        <w:pStyle w:val="ListParagraph"/>
        <w:numPr>
          <w:ilvl w:val="0"/>
          <w:numId w:val="2"/>
        </w:numPr>
        <w:spacing w:after="60" w:before="60"/>
      </w:pPr>
      <w:r>
        <w:rPr>
          <w:rFonts w:ascii="Arial" w:cs="Arial" w:eastAsia="Arial" w:hAnsi="Arial"/>
          <w:sz w:val="20"/>
          <w:szCs w:val="20"/>
        </w:rPr>
        <w:t xml:space="preserve">Retention policy: configure maximum data retention (default 7 years, aligned with GCP archiving requirement); implement soft-delete with audit record</w:t>
      </w:r>
    </w:p>
    <w:p>
      <w:pPr>
        <w:pStyle w:val="ListParagraph"/>
        <w:numPr>
          <w:ilvl w:val="0"/>
          <w:numId w:val="2"/>
        </w:numPr>
        <w:spacing w:after="60" w:before="60"/>
      </w:pPr>
      <w:r>
        <w:rPr>
          <w:rFonts w:ascii="Arial" w:cs="Arial" w:eastAsia="Arial" w:hAnsi="Arial"/>
          <w:sz w:val="20"/>
          <w:szCs w:val="20"/>
        </w:rPr>
        <w:t xml:space="preserve">Access control: CRO administrators can only see their own trials; Sponsor View role restricted to their protocol only — enforced at ORM query level, not just UI</w:t>
      </w:r>
    </w:p>
    <w:p>
      <w:pPr>
        <w:pStyle w:val="ListParagraph"/>
        <w:numPr>
          <w:ilvl w:val="0"/>
          <w:numId w:val="2"/>
        </w:numPr>
        <w:spacing w:after="60" w:before="60"/>
      </w:pPr>
      <w:r>
        <w:rPr>
          <w:rFonts w:ascii="Arial" w:cs="Arial" w:eastAsia="Arial" w:hAnsi="Arial"/>
          <w:sz w:val="20"/>
          <w:szCs w:val="20"/>
        </w:rPr>
        <w:t xml:space="preserve">No AI training on client data: Claude API calls must not pass patient-level records; context is limited to aggregated KPIs and site-level summaries</w:t>
      </w:r>
    </w:p>
    <w:p>
      <w:pPr>
        <w:spacing w:after="0" w:before="200"/>
      </w:pPr>
    </w:p>
    <w:p>
      <w:pPr>
        <w:spacing w:after="120" w:before="200"/>
      </w:pPr>
      <w:r>
        <w:rPr>
          <w:rFonts w:ascii="Arial" w:cs="Arial" w:eastAsia="Arial" w:hAnsi="Arial"/>
          <w:b/>
          <w:bCs/>
          <w:color w:val="0D6B72"/>
          <w:sz w:val="24"/>
          <w:szCs w:val="24"/>
        </w:rPr>
        <w:t xml:space="preserve">7.3  What ClinIQ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0D6B72" w:sz="1"/>
              <w:left w:val="single" w:color="0D6B72" w:sz="1"/>
              <w:bottom w:val="single" w:color="0D6B72" w:sz="1"/>
              <w:right w:val="single" w:color="0D6B72" w:sz="1"/>
            </w:tcBorders>
            <w:shd w:fill="FFF3CD" w:val="clear"/>
            <w:tcMar>
              <w:top w:type="dxa" w:w="100"/>
              <w:left w:type="dxa" w:w="120"/>
              <w:bottom w:type="dxa" w:w="100"/>
              <w:right w:type="dxa" w:w="120"/>
            </w:tcMar>
            <w:vAlign w:val="center"/>
          </w:tcPr>
          <w:p>
            <w:pPr>
              <w:jc w:val="center"/>
            </w:pPr>
            <w:r>
              <w:rPr>
                <w:rFonts w:ascii="Arial" w:cs="Arial" w:eastAsia="Arial" w:hAnsi="Arial"/>
                <w:b/>
                <w:bCs/>
                <w:color w:val="996600"/>
                <w:sz w:val="20"/>
                <w:szCs w:val="20"/>
              </w:rPr>
              <w:t xml:space="preserve">Important</w:t>
            </w:r>
          </w:p>
        </w:tc>
        <w:tc>
          <w:tcPr>
            <w:tcW w:type="dxa" w:w="7920"/>
            <w:tcBorders>
              <w:top w:val="single" w:color="0D6B72" w:sz="1"/>
              <w:left w:val="single" w:color="0D6B72" w:sz="1"/>
              <w:bottom w:val="single" w:color="0D6B72" w:sz="1"/>
              <w:right w:val="single" w:color="0D6B72" w:sz="1"/>
            </w:tcBorders>
            <w:shd w:fill="FFF3CD" w:val="clear"/>
            <w:tcMar>
              <w:top w:type="dxa" w:w="100"/>
              <w:left w:type="dxa" w:w="160"/>
              <w:bottom w:type="dxa" w:w="100"/>
              <w:right w:type="dxa" w:w="120"/>
            </w:tcMar>
          </w:tcPr>
          <w:p>
            <w:r>
              <w:rPr>
                <w:rFonts w:ascii="Arial" w:cs="Arial" w:eastAsia="Arial" w:hAnsi="Arial"/>
                <w:sz w:val="20"/>
                <w:szCs w:val="20"/>
              </w:rPr>
              <w:t xml:space="preserve">ClinIQ is a performance intelligence tool, not a regulated medical device. It does not make clinical decisions, does not process patient safety data in real time, and does not replace sponsor or CRO clinical oversight obligations. It should be described in all marketing as “a business intelligence platform for clinical operations” — not as a clinical system.</w:t>
            </w:r>
          </w:p>
        </w:tc>
      </w:tr>
    </w:tbl>
    <w:p>
      <w:pPr>
        <w:spacing w:after="0" w:before="120"/>
      </w:pPr>
    </w:p>
    <w:p>
      <w:pPr>
        <w:spacing w:after="120" w:before="0"/>
      </w:pPr>
      <w:r>
        <w:rPr>
          <w:rFonts w:ascii="Arial" w:cs="Arial" w:eastAsia="Arial" w:hAnsi="Arial"/>
          <w:b w:val="false"/>
          <w:bCs w:val="false"/>
          <w:color w:val="000000"/>
          <w:sz w:val="22"/>
          <w:szCs w:val="22"/>
        </w:rPr>
        <w:t xml:space="preserve">Before any commercial launch, a brief legal review from a solicitor experienced in healthcare data or life sciences SaaS is recommended. Estimated cost for a UK legal review: £1,500–2,500 for a DPA template and DPIA sign-off.</w:t>
      </w:r>
    </w:p>
    <w:p>
      <w:pPr>
        <w:spacing w:after="0" w:before="120"/>
      </w:pPr>
    </w:p>
    <w:p>
      <w:r>
        <w:br w:type="page"/>
      </w:r>
    </w:p>
    <w:p>
      <w:pPr>
        <w:spacing w:after="0" w:before="320"/>
      </w:pPr>
    </w:p>
    <w:p>
      <w:pPr>
        <w:pBdr>
          <w:bottom w:val="single" w:color="0D6B72" w:sz="8" w:space="1"/>
        </w:pBdr>
        <w:spacing w:after="200" w:before="0"/>
      </w:pPr>
      <w:r>
        <w:rPr>
          <w:rFonts w:ascii="Arial" w:cs="Arial" w:eastAsia="Arial" w:hAnsi="Arial"/>
          <w:b/>
          <w:bCs/>
          <w:color w:val="0F2B3D"/>
          <w:sz w:val="32"/>
          <w:szCs w:val="32"/>
        </w:rPr>
        <w:t xml:space="preserve">8  ·  Summary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2080"/>
        <w:gridCol w:w="3120"/>
        <w:gridCol w:w="3120"/>
      </w:tblGrid>
      <w:tr>
        <w:tc>
          <w:tcPr>
            <w:tcW w:type="dxa" w:w="1040"/>
            <w:gridSpan w:val="1"/>
            <w:tcBorders>
              <w:top w:val="single" w:color="CCCCCC" w:sz="1"/>
              <w:left w:val="single" w:color="CCCCCC" w:sz="1"/>
              <w:bottom w:val="single" w:color="CCCCCC" w:sz="1"/>
              <w:right w:val="single" w:color="CCCCCC" w:sz="1"/>
            </w:tcBorders>
            <w:shd w:fill="0D6B72"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2080"/>
            <w:gridSpan w:val="1"/>
            <w:tcBorders>
              <w:top w:val="single" w:color="CCCCCC" w:sz="1"/>
              <w:left w:val="single" w:color="CCCCCC" w:sz="1"/>
              <w:bottom w:val="single" w:color="CCCCCC" w:sz="1"/>
              <w:right w:val="single" w:color="CCCCCC" w:sz="1"/>
            </w:tcBorders>
            <w:shd w:fill="0D6B72"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120"/>
            <w:gridSpan w:val="1"/>
            <w:tcBorders>
              <w:top w:val="single" w:color="CCCCCC" w:sz="1"/>
              <w:left w:val="single" w:color="CCCCCC" w:sz="1"/>
              <w:bottom w:val="single" w:color="CCCCCC" w:sz="1"/>
              <w:right w:val="single" w:color="CCCCCC" w:sz="1"/>
            </w:tcBorders>
            <w:shd w:fill="0D6B72"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3120"/>
            <w:gridSpan w:val="1"/>
            <w:tcBorders>
              <w:top w:val="single" w:color="CCCCCC" w:sz="1"/>
              <w:left w:val="single" w:color="CCCCCC" w:sz="1"/>
              <w:bottom w:val="single" w:color="CCCCCC" w:sz="1"/>
              <w:right w:val="single" w:color="CCCCCC" w:sz="1"/>
            </w:tcBorders>
            <w:shd w:fill="0D6B72"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Gate</w:t>
            </w:r>
          </w:p>
        </w:tc>
      </w:tr>
      <w:tr>
        <w:tc>
          <w:tcPr>
            <w:tcW w:type="dxa" w:w="104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1–2</w:t>
            </w:r>
          </w:p>
        </w:tc>
        <w:tc>
          <w:tcPr>
            <w:tcW w:type="dxa" w:w="208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000000"/>
                <w:sz w:val="20"/>
                <w:szCs w:val="20"/>
              </w:rPr>
              <w:t xml:space="preserve">Data Foundation</w:t>
            </w:r>
          </w:p>
        </w:tc>
        <w:tc>
          <w:tcPr>
            <w:tcW w:type="dxa" w:w="312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Models, migrations, seeder live</w:t>
            </w:r>
          </w:p>
        </w:tc>
        <w:tc>
          <w:tcPr>
            <w:tcW w:type="dxa" w:w="312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80 tests passing</w:t>
            </w:r>
          </w:p>
        </w:tc>
      </w:tr>
      <w:tr>
        <w:tc>
          <w:tcPr>
            <w:tcW w:type="dxa" w:w="10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3–4</w:t>
            </w:r>
          </w:p>
        </w:tc>
        <w:tc>
          <w:tcPr>
            <w:tcW w:type="dxa" w:w="20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Analytics &amp; ML</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KPIs, risk score, NLP classifier</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220 tests passing</w:t>
            </w:r>
          </w:p>
        </w:tc>
      </w:tr>
      <w:tr>
        <w:tc>
          <w:tcPr>
            <w:tcW w:type="dxa" w:w="104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w:t>
            </w:r>
          </w:p>
        </w:tc>
        <w:tc>
          <w:tcPr>
            <w:tcW w:type="dxa" w:w="208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000000"/>
                <w:sz w:val="20"/>
                <w:szCs w:val="20"/>
              </w:rPr>
              <w:t xml:space="preserve">API Layer</w:t>
            </w:r>
          </w:p>
        </w:tc>
        <w:tc>
          <w:tcPr>
            <w:tcW w:type="dxa" w:w="312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FastAPI live, OpenAPI schema published</w:t>
            </w:r>
          </w:p>
        </w:tc>
        <w:tc>
          <w:tcPr>
            <w:tcW w:type="dxa" w:w="312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320 tests passing</w:t>
            </w:r>
          </w:p>
        </w:tc>
      </w:tr>
      <w:tr>
        <w:tc>
          <w:tcPr>
            <w:tcW w:type="dxa" w:w="10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6–7</w:t>
            </w:r>
          </w:p>
        </w:tc>
        <w:tc>
          <w:tcPr>
            <w:tcW w:type="dxa" w:w="20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Dashboard &amp; AI</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 Dash UI, Claude assistant integrated</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440 tests passing</w:t>
            </w:r>
          </w:p>
        </w:tc>
      </w:tr>
      <w:tr>
        <w:tc>
          <w:tcPr>
            <w:tcW w:type="dxa" w:w="104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w:t>
            </w:r>
          </w:p>
        </w:tc>
        <w:tc>
          <w:tcPr>
            <w:tcW w:type="dxa" w:w="208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000000"/>
                <w:sz w:val="20"/>
                <w:szCs w:val="20"/>
              </w:rPr>
              <w:t xml:space="preserve">Deploy &amp; Harden</w:t>
            </w:r>
          </w:p>
        </w:tc>
        <w:tc>
          <w:tcPr>
            <w:tcW w:type="dxa" w:w="312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Live on Render, CI passing, README done</w:t>
            </w:r>
          </w:p>
        </w:tc>
        <w:tc>
          <w:tcPr>
            <w:tcW w:type="dxa" w:w="312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520+ tests passing</w:t>
            </w:r>
          </w:p>
        </w:tc>
      </w:tr>
      <w:tr>
        <w:tc>
          <w:tcPr>
            <w:tcW w:type="dxa" w:w="10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Post-8</w:t>
            </w:r>
          </w:p>
        </w:tc>
        <w:tc>
          <w:tcPr>
            <w:tcW w:type="dxa" w:w="20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GTM Prep</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Target list, LinkedIn article, outreach</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outreach until 520+ gate cleared</w:t>
            </w:r>
          </w:p>
        </w:tc>
      </w:tr>
    </w:tbl>
    <w:p>
      <w:pPr>
        <w:spacing w:after="1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0D6B72" w:sz="1"/>
              <w:left w:val="single" w:color="0D6B72" w:sz="1"/>
              <w:bottom w:val="single" w:color="0D6B72" w:sz="1"/>
              <w:right w:val="single" w:color="0D6B72" w:sz="1"/>
            </w:tcBorders>
            <w:shd w:fill="E6F4F5" w:val="clear"/>
            <w:tcMar>
              <w:top w:type="dxa" w:w="100"/>
              <w:left w:type="dxa" w:w="120"/>
              <w:bottom w:type="dxa" w:w="100"/>
              <w:right w:type="dxa" w:w="120"/>
            </w:tcMar>
            <w:vAlign w:val="center"/>
          </w:tcPr>
          <w:p>
            <w:pPr>
              <w:jc w:val="center"/>
            </w:pPr>
            <w:r>
              <w:rPr>
                <w:rFonts w:ascii="Arial" w:cs="Arial" w:eastAsia="Arial" w:hAnsi="Arial"/>
                <w:b/>
                <w:bCs/>
                <w:color w:val="0D6B72"/>
                <w:sz w:val="20"/>
                <w:szCs w:val="20"/>
              </w:rPr>
              <w:t xml:space="preserve">Principle</w:t>
            </w:r>
          </w:p>
        </w:tc>
        <w:tc>
          <w:tcPr>
            <w:tcW w:type="dxa" w:w="7920"/>
            <w:tcBorders>
              <w:top w:val="single" w:color="0D6B72" w:sz="1"/>
              <w:left w:val="single" w:color="0D6B72" w:sz="1"/>
              <w:bottom w:val="single" w:color="0D6B72" w:sz="1"/>
              <w:right w:val="single" w:color="0D6B72" w:sz="1"/>
            </w:tcBorders>
            <w:shd w:fill="E6F4F5" w:val="clear"/>
            <w:tcMar>
              <w:top w:type="dxa" w:w="100"/>
              <w:left w:type="dxa" w:w="160"/>
              <w:bottom w:type="dxa" w:w="100"/>
              <w:right w:type="dxa" w:w="120"/>
            </w:tcMar>
          </w:tcPr>
          <w:p>
            <w:r>
              <w:rPr>
                <w:rFonts w:ascii="Arial" w:cs="Arial" w:eastAsia="Arial" w:hAnsi="Arial"/>
                <w:sz w:val="20"/>
                <w:szCs w:val="20"/>
              </w:rPr>
              <w:t xml:space="preserve">Build completely. Test thoroughly. Approach buyers only when the product can stand on its own in a demo.</w:t>
            </w:r>
          </w:p>
        </w:tc>
      </w:tr>
    </w:tbl>
    <w:p>
      <w:pPr>
        <w:spacing w:after="100" w:before="200"/>
      </w:pPr>
    </w:p>
    <w:p>
      <w:pPr>
        <w:pBdr>
          <w:top w:val="single" w:color="0D6B72" w:sz="4" w:space="1"/>
        </w:pBdr>
        <w:spacing w:after="100" w:before="200"/>
        <w:jc w:val="center"/>
      </w:pPr>
      <w:r>
        <w:rPr>
          <w:rFonts w:ascii="Arial" w:cs="Arial" w:eastAsia="Arial" w:hAnsi="Arial"/>
          <w:color w:val="999999"/>
          <w:sz w:val="18"/>
          <w:szCs w:val="18"/>
        </w:rPr>
        <w:t xml:space="preserve">Shaz Moghaddam  ·  shazmoghaddam.github.io  ·  github.com/ShazMoghaddam</w:t>
      </w:r>
    </w:p>
    <w:sectPr>
      <w:headerReference w:type="default" r:id="rId7"/>
      <w:footerReference w:type="default" r:id="rId8"/>
      <w:pgSz w:w="11906" w:h="16838"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6B72" w:sz="4" w:space="1"/>
      </w:pBdr>
      <w:tabs>
        <w:tab w:val="right" w:pos="9026"/>
      </w:tabs>
      <w:spacing w:before="100"/>
    </w:pPr>
    <w:r>
      <w:rPr>
        <w:rFonts w:ascii="Arial" w:cs="Arial" w:eastAsia="Arial" w:hAnsi="Arial"/>
        <w:color w:val="999999"/>
        <w:sz w:val="16"/>
        <w:szCs w:val="16"/>
      </w:rPr>
      <w:t xml:space="preserve">Shaz Moghaddam  ·  shazmoghaddam.github.io</w:t>
    </w:r>
    <w:r>
      <w:rPr>
        <w:rFonts w:ascii="Arial" w:cs="Arial" w:eastAsia="Arial" w:hAnsi="Arial"/>
        <w:color w:val="999999"/>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6B72" w:sz="4" w:space="1"/>
      </w:pBdr>
      <w:tabs>
        <w:tab w:val="right" w:pos="9026"/>
      </w:tabs>
      <w:spacing w:after="120"/>
    </w:pPr>
    <w:r>
      <w:rPr>
        <w:rFonts w:ascii="Arial" w:cs="Arial" w:eastAsia="Arial" w:hAnsi="Arial"/>
        <w:b/>
        <w:bCs/>
        <w:color w:val="0F2B3D"/>
        <w:sz w:val="18"/>
        <w:szCs w:val="18"/>
      </w:rPr>
      <w:t xml:space="preserve">ClinIQ — Architecture &amp; Product Plan</w:t>
    </w:r>
    <w:r>
      <w:rPr>
        <w:rFonts w:ascii="Arial" w:cs="Arial" w:eastAsia="Arial" w:hAnsi="Arial"/>
      </w:rPr>
      <w:t xml:space="preserve">	</w:t>
    </w:r>
    <w:r>
      <w:rPr>
        <w:rFonts w:ascii="Arial" w:cs="Arial" w:eastAsia="Arial" w:hAnsi="Arial"/>
        <w:color w:val="999999"/>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0F2B3D"/>
      <w:sz w:val="36"/>
      <w:szCs w:val="36"/>
    </w:rPr>
  </w:style>
  <w:style w:type="paragraph" w:styleId="Heading2">
    <w:name w:val="Heading 2"/>
    <w:basedOn w:val="Normal"/>
    <w:next w:val="Normal"/>
    <w:qFormat/>
    <w:pPr>
      <w:spacing w:after="140" w:before="220"/>
      <w:outlineLvl w:val="1"/>
    </w:pPr>
    <w:rPr>
      <w:rFonts w:ascii="Arial" w:cs="Arial" w:eastAsia="Arial" w:hAnsi="Arial"/>
      <w:b/>
      <w:bCs/>
      <w:color w:val="0D6B72"/>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0F2B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2026-06-21T15:57:32.951Z</dcterms:created>
  <dcterms:modified xsi:type="dcterms:W3CDTF">2026-06-21T15:57:32.951Z</dcterms:modified>
</cp:coreProperties>
</file>

<file path=docProps/custom.xml><?xml version="1.0" encoding="utf-8"?>
<Properties xmlns="http://schemas.openxmlformats.org/officeDocument/2006/custom-properties" xmlns:vt="http://schemas.openxmlformats.org/officeDocument/2006/docPropsVTypes"/>
</file>