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120"/>
        <w:jc w:val="center"/>
      </w:pPr>
      <w:r>
        <w:rPr>
          <w:b/>
          <w:bCs/>
          <w:color w:val="22c55e"/>
          <w:sz w:val="52"/>
          <w:szCs w:val="52"/>
        </w:rPr>
        <w:t xml:space="preserve">SERVICE AGREEMENT</w:t>
      </w:r>
    </w:p>
    <w:p>
      <w:pPr>
        <w:spacing w:after="80"/>
        <w:jc w:val="center"/>
      </w:pPr>
      <w:r>
        <w:rPr>
          <w:b/>
          <w:bCs/>
          <w:sz w:val="36"/>
          <w:szCs w:val="36"/>
        </w:rPr>
        <w:t xml:space="preserve">Sideout Pickleball</w:t>
      </w:r>
    </w:p>
    <w:p>
      <w:pPr>
        <w:spacing w:after="400"/>
        <w:jc w:val="center"/>
      </w:pPr>
      <w:r>
        <w:rPr>
          <w:color w:val="555555"/>
          <w:sz w:val="24"/>
          <w:szCs w:val="24"/>
        </w:rPr>
        <w:t xml:space="preserve">Court Booking System  •  Facility Website</w:t>
      </w:r>
    </w:p>
    <w:p>
      <w:pPr>
        <w:pBdr>
          <w:bottom w:val="single" w:color="22c55e" w:sz="6"/>
        </w:pBdr>
        <w:spacing w:after="200"/>
      </w:pPr>
    </w:p>
    <w:tbl>
      <w:tblPr>
        <w:tblW w:type="pct" w:w="100%"/>
        <w:tblBorders>
          <w:top w:val="none"/>
          <w:left w:val="none"/>
          <w:bottom w:val="none"/>
          <w:right w:val="none"/>
          <w:insideH w:val="single" w:color="auto" w:sz="4"/>
          <w:insideV w:val="single" w:color="auto" w:sz="4"/>
        </w:tblBorders>
        <w:tblLayout w:type="fixed"/>
      </w:tblPr>
      <w:tblGrid>
        <w:gridCol w:w="100"/>
        <w:gridCol w:w="100"/>
      </w:tblGrid>
      <w:tr>
        <w:tc>
          <w:tcPr>
            <w:tcW w:type="pct" w:w="30%"/>
            <w:tcBorders>
              <w:top w:val="none"/>
              <w:left w:val="none"/>
              <w:bottom w:val="none"/>
              <w:right w:val="none"/>
            </w:tcBorders>
          </w:tcPr>
          <w:p>
            <w:r>
              <w:rPr>
                <w:b/>
                <w:bCs/>
                <w:color w:val="555555"/>
                <w:sz w:val="20"/>
                <w:szCs w:val="20"/>
              </w:rPr>
              <w:t xml:space="preserve">Agreement Date:</w:t>
            </w:r>
          </w:p>
        </w:tc>
        <w:tc>
          <w:tcPr>
            <w:tcW w:type="pct" w:w="70%"/>
            <w:tcBorders>
              <w:top w:val="none"/>
              <w:left w:val="none"/>
              <w:bottom w:val="none"/>
              <w:right w:val="none"/>
            </w:tcBorders>
          </w:tcPr>
          <w:p>
            <w:r>
              <w:rPr>
                <w:color w:val="000000"/>
                <w:sz w:val="20"/>
                <w:szCs w:val="20"/>
              </w:rPr>
              <w:t xml:space="preserve">April 2026</w:t>
            </w:r>
          </w:p>
        </w:tc>
      </w:tr>
      <w:tr>
        <w:tc>
          <w:tcPr>
            <w:tcW w:type="pct" w:w="30%"/>
            <w:tcBorders>
              <w:top w:val="none"/>
              <w:left w:val="none"/>
              <w:bottom w:val="none"/>
              <w:right w:val="none"/>
            </w:tcBorders>
          </w:tcPr>
          <w:p>
            <w:r>
              <w:rPr>
                <w:b/>
                <w:bCs/>
                <w:color w:val="555555"/>
                <w:sz w:val="20"/>
                <w:szCs w:val="20"/>
              </w:rPr>
              <w:t xml:space="preserve">Service Provider:</w:t>
            </w:r>
          </w:p>
        </w:tc>
        <w:tc>
          <w:tcPr>
            <w:tcW w:type="pct" w:w="70%"/>
            <w:tcBorders>
              <w:top w:val="none"/>
              <w:left w:val="none"/>
              <w:bottom w:val="none"/>
              <w:right w:val="none"/>
            </w:tcBorders>
          </w:tcPr>
          <w:p>
            <w:r>
              <w:rPr>
                <w:color w:val="000000"/>
                <w:sz w:val="20"/>
                <w:szCs w:val="20"/>
              </w:rPr>
              <w:t xml:space="preserve">SKMC Consulting (hereinafter "SKMC")</w:t>
            </w:r>
          </w:p>
        </w:tc>
      </w:tr>
      <w:tr>
        <w:tc>
          <w:tcPr>
            <w:tcW w:type="pct" w:w="30%"/>
            <w:tcBorders>
              <w:top w:val="none"/>
              <w:left w:val="none"/>
              <w:bottom w:val="none"/>
              <w:right w:val="none"/>
            </w:tcBorders>
          </w:tcPr>
          <w:p>
            <w:r>
              <w:rPr>
                <w:b/>
                <w:bCs/>
                <w:color w:val="555555"/>
                <w:sz w:val="20"/>
                <w:szCs w:val="20"/>
              </w:rPr>
              <w:t xml:space="preserve">Client:</w:t>
            </w:r>
          </w:p>
        </w:tc>
        <w:tc>
          <w:tcPr>
            <w:tcW w:type="pct" w:w="70%"/>
            <w:tcBorders>
              <w:top w:val="none"/>
              <w:left w:val="none"/>
              <w:bottom w:val="none"/>
              <w:right w:val="none"/>
            </w:tcBorders>
          </w:tcPr>
          <w:p>
            <w:r>
              <w:rPr>
                <w:color w:val="000000"/>
                <w:sz w:val="20"/>
                <w:szCs w:val="20"/>
              </w:rPr>
              <w:t xml:space="preserve">Sideout Pickleball, 10-Court Pickleball Facility, Mandaue City, Cebu (hereinafter "the Client")</w:t>
            </w:r>
          </w:p>
        </w:tc>
      </w:tr>
      <w:tr>
        <w:tc>
          <w:tcPr>
            <w:tcW w:type="pct" w:w="30%"/>
            <w:tcBorders>
              <w:top w:val="none"/>
              <w:left w:val="none"/>
              <w:bottom w:val="none"/>
              <w:right w:val="none"/>
            </w:tcBorders>
          </w:tcPr>
          <w:p>
            <w:r>
              <w:rPr>
                <w:b/>
                <w:bCs/>
                <w:color w:val="555555"/>
                <w:sz w:val="20"/>
                <w:szCs w:val="20"/>
              </w:rPr>
              <w:t xml:space="preserve">Reference Quote:</w:t>
            </w:r>
          </w:p>
        </w:tc>
        <w:tc>
          <w:tcPr>
            <w:tcW w:type="pct" w:w="70%"/>
            <w:tcBorders>
              <w:top w:val="none"/>
              <w:left w:val="none"/>
              <w:bottom w:val="none"/>
              <w:right w:val="none"/>
            </w:tcBorders>
          </w:tcPr>
          <w:p>
            <w:r>
              <w:rPr>
                <w:color w:val="000000"/>
                <w:sz w:val="20"/>
                <w:szCs w:val="20"/>
              </w:rPr>
              <w:t xml:space="preserve">Sideout Pickleball Implementation Quote v3, April 2026</w:t>
            </w:r>
          </w:p>
        </w:tc>
      </w:tr>
      <w:tr>
        <w:tc>
          <w:tcPr>
            <w:tcW w:type="pct" w:w="30%"/>
            <w:tcBorders>
              <w:top w:val="none"/>
              <w:left w:val="none"/>
              <w:bottom w:val="none"/>
              <w:right w:val="none"/>
            </w:tcBorders>
          </w:tcPr>
          <w:p>
            <w:r>
              <w:rPr>
                <w:b/>
                <w:bCs/>
                <w:color w:val="555555"/>
                <w:sz w:val="20"/>
                <w:szCs w:val="20"/>
              </w:rPr>
              <w:t xml:space="preserve">Governing Law:</w:t>
            </w:r>
          </w:p>
        </w:tc>
        <w:tc>
          <w:tcPr>
            <w:tcW w:type="pct" w:w="70%"/>
            <w:tcBorders>
              <w:top w:val="none"/>
              <w:left w:val="none"/>
              <w:bottom w:val="none"/>
              <w:right w:val="none"/>
            </w:tcBorders>
          </w:tcPr>
          <w:p>
            <w:r>
              <w:rPr>
                <w:color w:val="000000"/>
                <w:sz w:val="20"/>
                <w:szCs w:val="20"/>
              </w:rPr>
              <w:t xml:space="preserve">Republic of the Philippines</w:t>
            </w:r>
          </w:p>
        </w:tc>
      </w:tr>
    </w:tbl>
    <w:p>
      <w:pPr>
        <w:spacing w:after="240"/>
      </w:pPr>
    </w:p>
    <w:p>
      <w:pPr>
        <w:pBdr>
          <w:bottom w:val="single" w:color="22c55e" w:sz="6"/>
        </w:pBdr>
        <w:spacing w:after="200"/>
      </w:pPr>
    </w:p>
    <w:p>
      <w:pPr>
        <w:spacing w:after="120"/>
        <w:jc w:val="left"/>
      </w:pPr>
      <w:r>
        <w:rPr>
          <w:color w:val="333333"/>
          <w:sz w:val="20"/>
          <w:szCs w:val="20"/>
        </w:rPr>
        <w:t xml:space="preserve">This Service Agreement ("Agreement") sets out the terms under which SKMC Consulting will deliver the services described in the Reference Quote above. By signing this Agreement, both parties confirm they have read, understood, and agreed to the terms below.</w:t>
      </w:r>
    </w:p>
    <w:p>
      <w:pPr>
        <w:spacing w:after="240"/>
      </w:pPr>
    </w:p>
    <w:p>
      <w:pPr>
        <w:spacing w:after="120" w:before="400"/>
      </w:pPr>
      <w:r>
        <w:rPr>
          <w:b/>
          <w:bCs/>
          <w:color w:val="000000"/>
          <w:sz w:val="36"/>
          <w:szCs w:val="36"/>
        </w:rPr>
        <w:t xml:space="preserve">1.  Scope of Work</w:t>
      </w:r>
    </w:p>
    <w:p>
      <w:pPr>
        <w:pBdr>
          <w:bottom w:val="single" w:color="22c55e" w:sz="6"/>
        </w:pBdr>
        <w:spacing w:after="200"/>
      </w:pPr>
    </w:p>
    <w:p>
      <w:pPr>
        <w:spacing w:after="120"/>
        <w:jc w:val="left"/>
      </w:pPr>
      <w:r>
        <w:rPr>
          <w:color w:val="000000"/>
          <w:sz w:val="20"/>
          <w:szCs w:val="20"/>
        </w:rPr>
        <w:t xml:space="preserve">SKMC agrees to deliver the services as described in the Reference Quote, which forms part of this Agreement. The scope covers two packages:</w:t>
      </w:r>
    </w:p>
    <w:p>
      <w:pPr>
        <w:spacing w:after="120"/>
      </w:pPr>
    </w:p>
    <w:p>
      <w:pPr>
        <w:spacing w:after="120"/>
        <w:jc w:val="left"/>
      </w:pPr>
      <w:r>
        <w:rPr>
          <w:b/>
          <w:bCs/>
          <w:color w:val="000000"/>
          <w:sz w:val="20"/>
          <w:szCs w:val="20"/>
        </w:rPr>
        <w:t xml:space="preserve">Package 1 — Automated Court Booking System: </w:t>
      </w:r>
      <w:r>
        <w:rPr>
          <w:color w:val="000000"/>
          <w:sz w:val="20"/>
          <w:szCs w:val="20"/>
        </w:rPr>
        <w:t xml:space="preserve">Next.js web application with real-time court availability, 5-minute slot locking, GCash / Maya / GoTyme payment flow, Resend email confirmations, Semaphore SMS notifications, Supabase database backend, and Vercel deployment.</w:t>
      </w:r>
    </w:p>
    <w:p>
      <w:pPr>
        <w:spacing w:after="120"/>
      </w:pPr>
    </w:p>
    <w:p>
      <w:pPr>
        <w:spacing w:after="120"/>
        <w:jc w:val="left"/>
      </w:pPr>
      <w:r>
        <w:rPr>
          <w:b/>
          <w:bCs/>
          <w:color w:val="000000"/>
          <w:sz w:val="20"/>
          <w:szCs w:val="20"/>
        </w:rPr>
        <w:t xml:space="preserve">Package 2 — Sideout Pickleball Website: </w:t>
      </w:r>
      <w:r>
        <w:rPr>
          <w:color w:val="000000"/>
          <w:sz w:val="20"/>
          <w:szCs w:val="20"/>
        </w:rPr>
        <w:t xml:space="preserve">Full mobile-responsive website built on Next.js and deployed on Vercel, with the court booking system natively integrated — no third-party widget required.</w:t>
      </w:r>
    </w:p>
    <w:p>
      <w:pPr>
        <w:spacing w:after="120"/>
      </w:pPr>
    </w:p>
    <w:p>
      <w:pPr>
        <w:spacing w:after="120"/>
        <w:jc w:val="left"/>
      </w:pPr>
      <w:r>
        <w:rPr>
          <w:color w:val="000000"/>
          <w:sz w:val="20"/>
          <w:szCs w:val="20"/>
        </w:rPr>
        <w:t xml:space="preserve">Both packages include up to 2 training sessions for the Client's team and up to 5 post-launch revisions. Any work not described in the Reference Quote is outside scope and will be quoted separately.</w:t>
      </w:r>
    </w:p>
    <w:p>
      <w:pPr>
        <w:spacing w:after="240"/>
      </w:pPr>
    </w:p>
    <w:p>
      <w:pPr>
        <w:spacing w:after="120" w:before="400"/>
      </w:pPr>
      <w:r>
        <w:rPr>
          <w:b/>
          <w:bCs/>
          <w:color w:val="000000"/>
          <w:sz w:val="36"/>
          <w:szCs w:val="36"/>
        </w:rPr>
        <w:t xml:space="preserve">2.  Fees &amp; Payment</w:t>
      </w:r>
    </w:p>
    <w:p>
      <w:pPr>
        <w:pBdr>
          <w:bottom w:val="single" w:color="22c55e" w:sz="6"/>
        </w:pBdr>
        <w:spacing w:after="200"/>
      </w:pPr>
    </w:p>
    <w:p>
      <w:pPr>
        <w:spacing w:after="120"/>
        <w:jc w:val="left"/>
      </w:pPr>
      <w:r>
        <w:rPr>
          <w:color w:val="000000"/>
          <w:sz w:val="20"/>
          <w:szCs w:val="20"/>
        </w:rPr>
        <w:t xml:space="preserve">The total one-time fee for both packages is ₱165,000 (Philippine Pesos), exclusive of VAT. Packages may be engaged separately at the individual rates stated in the Reference Quote.</w:t>
      </w:r>
    </w:p>
    <w:p>
      <w:pPr>
        <w:spacing w:after="120"/>
      </w:pPr>
    </w:p>
    <w:p>
      <w:pPr>
        <w:spacing w:after="120"/>
        <w:jc w:val="left"/>
      </w:pPr>
      <w:r>
        <w:rPr>
          <w:b/>
          <w:bCs/>
          <w:color w:val="000000"/>
          <w:sz w:val="22"/>
          <w:szCs w:val="22"/>
        </w:rPr>
        <w:t xml:space="preserve">Individual Package Payment Schedule:</w:t>
      </w:r>
    </w:p>
    <w:p>
      <w:pPr>
        <w:spacing w:after="120"/>
        <w:jc w:val="left"/>
      </w:pPr>
      <w:r>
        <w:rPr>
          <w:color w:val="555555"/>
          <w:sz w:val="20"/>
          <w:szCs w:val="20"/>
        </w:rPr>
        <w:t xml:space="preserve">When packages are engaged separately, the following milestone schedule applies per package:</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2c55e" w:val="clear"/>
            <w:tcMar>
              <w:top w:type="dxa" w:w="80"/>
              <w:left w:type="dxa" w:w="120"/>
              <w:bottom w:type="dxa" w:w="80"/>
              <w:right w:type="dxa" w:w="120"/>
            </w:tcMar>
            <w:vAlign w:val="center"/>
          </w:tcPr>
          <w:p>
            <w:r>
              <w:rPr>
                <w:b/>
                <w:bCs/>
                <w:color w:val="ffffff"/>
                <w:sz w:val="18"/>
                <w:szCs w:val="18"/>
              </w:rPr>
              <w:t xml:space="preserve">Milestone</w:t>
            </w:r>
          </w:p>
        </w:tc>
        <w:tc>
          <w:tcPr>
            <w:shd w:fill="22c55e" w:val="clear"/>
            <w:tcMar>
              <w:top w:type="dxa" w:w="80"/>
              <w:left w:type="dxa" w:w="120"/>
              <w:bottom w:type="dxa" w:w="80"/>
              <w:right w:type="dxa" w:w="120"/>
            </w:tcMar>
            <w:vAlign w:val="center"/>
          </w:tcPr>
          <w:p>
            <w:r>
              <w:rPr>
                <w:b/>
                <w:bCs/>
                <w:color w:val="ffffff"/>
                <w:sz w:val="18"/>
                <w:szCs w:val="18"/>
              </w:rPr>
              <w:t xml:space="preserve">Trigger</w:t>
            </w:r>
          </w:p>
        </w:tc>
        <w:tc>
          <w:tcPr>
            <w:shd w:fill="22c55e" w:val="clear"/>
            <w:tcMar>
              <w:top w:type="dxa" w:w="80"/>
              <w:left w:type="dxa" w:w="120"/>
              <w:bottom w:type="dxa" w:w="80"/>
              <w:right w:type="dxa" w:w="120"/>
            </w:tcMar>
            <w:vAlign w:val="center"/>
          </w:tcPr>
          <w:p>
            <w:r>
              <w:rPr>
                <w:b/>
                <w:bCs/>
                <w:color w:val="ffffff"/>
                <w:sz w:val="18"/>
                <w:szCs w:val="18"/>
              </w:rPr>
              <w:t xml:space="preserve">%</w:t>
            </w:r>
          </w:p>
        </w:tc>
        <w:tc>
          <w:tcPr>
            <w:shd w:fill="22c55e" w:val="clear"/>
            <w:tcMar>
              <w:top w:type="dxa" w:w="80"/>
              <w:left w:type="dxa" w:w="120"/>
              <w:bottom w:type="dxa" w:w="80"/>
              <w:right w:type="dxa" w:w="120"/>
            </w:tcMar>
            <w:vAlign w:val="center"/>
          </w:tcPr>
          <w:p>
            <w:r>
              <w:rPr>
                <w:b/>
                <w:bCs/>
                <w:color w:val="ffffff"/>
                <w:sz w:val="18"/>
                <w:szCs w:val="18"/>
              </w:rPr>
              <w:t xml:space="preserve">Amount</w:t>
            </w:r>
          </w:p>
        </w:tc>
      </w:tr>
      <w:tr>
        <w:tc>
          <w:tcPr>
            <w:shd w:fill="ffffff" w:val="clear"/>
            <w:tcMar>
              <w:top w:type="dxa" w:w="80"/>
              <w:left w:type="dxa" w:w="120"/>
              <w:bottom w:type="dxa" w:w="80"/>
              <w:right w:type="dxa" w:w="120"/>
            </w:tcMar>
            <w:vAlign w:val="center"/>
          </w:tcPr>
          <w:p>
            <w:r>
              <w:rPr>
                <w:color w:val="000000"/>
                <w:sz w:val="19"/>
                <w:szCs w:val="19"/>
              </w:rPr>
              <w:t xml:space="preserve">P1 — M1</w:t>
            </w:r>
          </w:p>
        </w:tc>
        <w:tc>
          <w:tcPr>
            <w:shd w:fill="ffffff" w:val="clear"/>
            <w:tcMar>
              <w:top w:type="dxa" w:w="80"/>
              <w:left w:type="dxa" w:w="120"/>
              <w:bottom w:type="dxa" w:w="80"/>
              <w:right w:type="dxa" w:w="120"/>
            </w:tcMar>
            <w:vAlign w:val="center"/>
          </w:tcPr>
          <w:p>
            <w:r>
              <w:rPr>
                <w:color w:val="000000"/>
                <w:sz w:val="19"/>
                <w:szCs w:val="19"/>
              </w:rPr>
              <w:t xml:space="preserve">Upon signing this Agreement</w:t>
            </w:r>
          </w:p>
        </w:tc>
        <w:tc>
          <w:tcPr>
            <w:shd w:fill="ffffff" w:val="clear"/>
            <w:tcMar>
              <w:top w:type="dxa" w:w="80"/>
              <w:left w:type="dxa" w:w="120"/>
              <w:bottom w:type="dxa" w:w="80"/>
              <w:right w:type="dxa" w:w="120"/>
            </w:tcMar>
            <w:vAlign w:val="center"/>
          </w:tcPr>
          <w:p>
            <w:r>
              <w:rPr>
                <w:color w:val="000000"/>
                <w:sz w:val="19"/>
                <w:szCs w:val="19"/>
              </w:rPr>
              <w:t xml:space="preserve">50%</w:t>
            </w:r>
          </w:p>
        </w:tc>
        <w:tc>
          <w:tcPr>
            <w:shd w:fill="ffffff" w:val="clear"/>
            <w:tcMar>
              <w:top w:type="dxa" w:w="80"/>
              <w:left w:type="dxa" w:w="120"/>
              <w:bottom w:type="dxa" w:w="80"/>
              <w:right w:type="dxa" w:w="120"/>
            </w:tcMar>
            <w:vAlign w:val="center"/>
          </w:tcPr>
          <w:p>
            <w:r>
              <w:rPr>
                <w:color w:val="000000"/>
                <w:sz w:val="19"/>
                <w:szCs w:val="19"/>
              </w:rPr>
              <w:t xml:space="preserve">₱47,500</w:t>
            </w:r>
          </w:p>
        </w:tc>
      </w:tr>
      <w:tr>
        <w:tc>
          <w:tcPr>
            <w:shd w:fill="f5f5f5" w:val="clear"/>
            <w:tcMar>
              <w:top w:type="dxa" w:w="80"/>
              <w:left w:type="dxa" w:w="120"/>
              <w:bottom w:type="dxa" w:w="80"/>
              <w:right w:type="dxa" w:w="120"/>
            </w:tcMar>
            <w:vAlign w:val="center"/>
          </w:tcPr>
          <w:p>
            <w:r>
              <w:rPr>
                <w:color w:val="000000"/>
                <w:sz w:val="19"/>
                <w:szCs w:val="19"/>
              </w:rPr>
              <w:t xml:space="preserve">P1 — M2</w:t>
            </w:r>
          </w:p>
        </w:tc>
        <w:tc>
          <w:tcPr>
            <w:shd w:fill="f5f5f5" w:val="clear"/>
            <w:tcMar>
              <w:top w:type="dxa" w:w="80"/>
              <w:left w:type="dxa" w:w="120"/>
              <w:bottom w:type="dxa" w:w="80"/>
              <w:right w:type="dxa" w:w="120"/>
            </w:tcMar>
            <w:vAlign w:val="center"/>
          </w:tcPr>
          <w:p>
            <w:r>
              <w:rPr>
                <w:color w:val="000000"/>
                <w:sz w:val="19"/>
                <w:szCs w:val="19"/>
              </w:rPr>
              <w:t xml:space="preserve">Booking flow live &amp; availability check working</w:t>
            </w:r>
          </w:p>
        </w:tc>
        <w:tc>
          <w:tcPr>
            <w:shd w:fill="f5f5f5" w:val="clear"/>
            <w:tcMar>
              <w:top w:type="dxa" w:w="80"/>
              <w:left w:type="dxa" w:w="120"/>
              <w:bottom w:type="dxa" w:w="80"/>
              <w:right w:type="dxa" w:w="120"/>
            </w:tcMar>
            <w:vAlign w:val="center"/>
          </w:tcPr>
          <w:p>
            <w:r>
              <w:rPr>
                <w:color w:val="000000"/>
                <w:sz w:val="19"/>
                <w:szCs w:val="19"/>
              </w:rPr>
              <w:t xml:space="preserve">30%</w:t>
            </w:r>
          </w:p>
        </w:tc>
        <w:tc>
          <w:tcPr>
            <w:shd w:fill="f5f5f5" w:val="clear"/>
            <w:tcMar>
              <w:top w:type="dxa" w:w="80"/>
              <w:left w:type="dxa" w:w="120"/>
              <w:bottom w:type="dxa" w:w="80"/>
              <w:right w:type="dxa" w:w="120"/>
            </w:tcMar>
            <w:vAlign w:val="center"/>
          </w:tcPr>
          <w:p>
            <w:r>
              <w:rPr>
                <w:color w:val="000000"/>
                <w:sz w:val="19"/>
                <w:szCs w:val="19"/>
              </w:rPr>
              <w:t xml:space="preserve">₱28,500</w:t>
            </w:r>
          </w:p>
        </w:tc>
      </w:tr>
      <w:tr>
        <w:tc>
          <w:tcPr>
            <w:shd w:fill="ffffff" w:val="clear"/>
            <w:tcMar>
              <w:top w:type="dxa" w:w="80"/>
              <w:left w:type="dxa" w:w="120"/>
              <w:bottom w:type="dxa" w:w="80"/>
              <w:right w:type="dxa" w:w="120"/>
            </w:tcMar>
            <w:vAlign w:val="center"/>
          </w:tcPr>
          <w:p>
            <w:r>
              <w:rPr>
                <w:color w:val="000000"/>
                <w:sz w:val="19"/>
                <w:szCs w:val="19"/>
              </w:rPr>
              <w:t xml:space="preserve">P1 — M3</w:t>
            </w:r>
          </w:p>
        </w:tc>
        <w:tc>
          <w:tcPr>
            <w:shd w:fill="ffffff" w:val="clear"/>
            <w:tcMar>
              <w:top w:type="dxa" w:w="80"/>
              <w:left w:type="dxa" w:w="120"/>
              <w:bottom w:type="dxa" w:w="80"/>
              <w:right w:type="dxa" w:w="120"/>
            </w:tcMar>
            <w:vAlign w:val="center"/>
          </w:tcPr>
          <w:p>
            <w:r>
              <w:rPr>
                <w:color w:val="000000"/>
                <w:sz w:val="19"/>
                <w:szCs w:val="19"/>
              </w:rPr>
              <w:t xml:space="preserve">Payment flow live, notifications active, full handover</w:t>
            </w:r>
          </w:p>
        </w:tc>
        <w:tc>
          <w:tcPr>
            <w:shd w:fill="ffffff" w:val="clear"/>
            <w:tcMar>
              <w:top w:type="dxa" w:w="80"/>
              <w:left w:type="dxa" w:w="120"/>
              <w:bottom w:type="dxa" w:w="80"/>
              <w:right w:type="dxa" w:w="120"/>
            </w:tcMar>
            <w:vAlign w:val="center"/>
          </w:tcPr>
          <w:p>
            <w:r>
              <w:rPr>
                <w:color w:val="000000"/>
                <w:sz w:val="19"/>
                <w:szCs w:val="19"/>
              </w:rPr>
              <w:t xml:space="preserve">20%</w:t>
            </w:r>
          </w:p>
        </w:tc>
        <w:tc>
          <w:tcPr>
            <w:shd w:fill="ffffff" w:val="clear"/>
            <w:tcMar>
              <w:top w:type="dxa" w:w="80"/>
              <w:left w:type="dxa" w:w="120"/>
              <w:bottom w:type="dxa" w:w="80"/>
              <w:right w:type="dxa" w:w="120"/>
            </w:tcMar>
            <w:vAlign w:val="center"/>
          </w:tcPr>
          <w:p>
            <w:r>
              <w:rPr>
                <w:color w:val="000000"/>
                <w:sz w:val="19"/>
                <w:szCs w:val="19"/>
              </w:rPr>
              <w:t xml:space="preserve">₱19,000</w:t>
            </w:r>
          </w:p>
        </w:tc>
      </w:tr>
      <w:tr>
        <w:tc>
          <w:tcPr>
            <w:shd w:fill="f5f5f5" w:val="clear"/>
            <w:tcMar>
              <w:top w:type="dxa" w:w="80"/>
              <w:left w:type="dxa" w:w="120"/>
              <w:bottom w:type="dxa" w:w="80"/>
              <w:right w:type="dxa" w:w="120"/>
            </w:tcMar>
            <w:vAlign w:val="center"/>
          </w:tcPr>
          <w:p>
            <w:r>
              <w:rPr>
                <w:color w:val="000000"/>
                <w:sz w:val="19"/>
                <w:szCs w:val="19"/>
              </w:rPr>
              <w:t xml:space="preserve">P2 — M1</w:t>
            </w:r>
          </w:p>
        </w:tc>
        <w:tc>
          <w:tcPr>
            <w:shd w:fill="f5f5f5" w:val="clear"/>
            <w:tcMar>
              <w:top w:type="dxa" w:w="80"/>
              <w:left w:type="dxa" w:w="120"/>
              <w:bottom w:type="dxa" w:w="80"/>
              <w:right w:type="dxa" w:w="120"/>
            </w:tcMar>
            <w:vAlign w:val="center"/>
          </w:tcPr>
          <w:p>
            <w:r>
              <w:rPr>
                <w:color w:val="000000"/>
                <w:sz w:val="19"/>
                <w:szCs w:val="19"/>
              </w:rPr>
              <w:t xml:space="preserve">Upon signing this Agreement</w:t>
            </w:r>
          </w:p>
        </w:tc>
        <w:tc>
          <w:tcPr>
            <w:shd w:fill="f5f5f5" w:val="clear"/>
            <w:tcMar>
              <w:top w:type="dxa" w:w="80"/>
              <w:left w:type="dxa" w:w="120"/>
              <w:bottom w:type="dxa" w:w="80"/>
              <w:right w:type="dxa" w:w="120"/>
            </w:tcMar>
            <w:vAlign w:val="center"/>
          </w:tcPr>
          <w:p>
            <w:r>
              <w:rPr>
                <w:color w:val="000000"/>
                <w:sz w:val="19"/>
                <w:szCs w:val="19"/>
              </w:rPr>
              <w:t xml:space="preserve">50%</w:t>
            </w:r>
          </w:p>
        </w:tc>
        <w:tc>
          <w:tcPr>
            <w:shd w:fill="f5f5f5" w:val="clear"/>
            <w:tcMar>
              <w:top w:type="dxa" w:w="80"/>
              <w:left w:type="dxa" w:w="120"/>
              <w:bottom w:type="dxa" w:w="80"/>
              <w:right w:type="dxa" w:w="120"/>
            </w:tcMar>
            <w:vAlign w:val="center"/>
          </w:tcPr>
          <w:p>
            <w:r>
              <w:rPr>
                <w:color w:val="000000"/>
                <w:sz w:val="19"/>
                <w:szCs w:val="19"/>
              </w:rPr>
              <w:t xml:space="preserve">₱42,500</w:t>
            </w:r>
          </w:p>
        </w:tc>
      </w:tr>
      <w:tr>
        <w:tc>
          <w:tcPr>
            <w:shd w:fill="ffffff" w:val="clear"/>
            <w:tcMar>
              <w:top w:type="dxa" w:w="80"/>
              <w:left w:type="dxa" w:w="120"/>
              <w:bottom w:type="dxa" w:w="80"/>
              <w:right w:type="dxa" w:w="120"/>
            </w:tcMar>
            <w:vAlign w:val="center"/>
          </w:tcPr>
          <w:p>
            <w:r>
              <w:rPr>
                <w:color w:val="000000"/>
                <w:sz w:val="19"/>
                <w:szCs w:val="19"/>
              </w:rPr>
              <w:t xml:space="preserve">P2 — M2</w:t>
            </w:r>
          </w:p>
        </w:tc>
        <w:tc>
          <w:tcPr>
            <w:shd w:fill="ffffff" w:val="clear"/>
            <w:tcMar>
              <w:top w:type="dxa" w:w="80"/>
              <w:left w:type="dxa" w:w="120"/>
              <w:bottom w:type="dxa" w:w="80"/>
              <w:right w:type="dxa" w:w="120"/>
            </w:tcMar>
            <w:vAlign w:val="center"/>
          </w:tcPr>
          <w:p>
            <w:r>
              <w:rPr>
                <w:color w:val="000000"/>
                <w:sz w:val="19"/>
                <w:szCs w:val="19"/>
              </w:rPr>
              <w:t xml:space="preserve">Design approved &amp; development complete</w:t>
            </w:r>
          </w:p>
        </w:tc>
        <w:tc>
          <w:tcPr>
            <w:shd w:fill="ffffff" w:val="clear"/>
            <w:tcMar>
              <w:top w:type="dxa" w:w="80"/>
              <w:left w:type="dxa" w:w="120"/>
              <w:bottom w:type="dxa" w:w="80"/>
              <w:right w:type="dxa" w:w="120"/>
            </w:tcMar>
            <w:vAlign w:val="center"/>
          </w:tcPr>
          <w:p>
            <w:r>
              <w:rPr>
                <w:color w:val="000000"/>
                <w:sz w:val="19"/>
                <w:szCs w:val="19"/>
              </w:rPr>
              <w:t xml:space="preserve">30%</w:t>
            </w:r>
          </w:p>
        </w:tc>
        <w:tc>
          <w:tcPr>
            <w:shd w:fill="ffffff" w:val="clear"/>
            <w:tcMar>
              <w:top w:type="dxa" w:w="80"/>
              <w:left w:type="dxa" w:w="120"/>
              <w:bottom w:type="dxa" w:w="80"/>
              <w:right w:type="dxa" w:w="120"/>
            </w:tcMar>
            <w:vAlign w:val="center"/>
          </w:tcPr>
          <w:p>
            <w:r>
              <w:rPr>
                <w:color w:val="000000"/>
                <w:sz w:val="19"/>
                <w:szCs w:val="19"/>
              </w:rPr>
              <w:t xml:space="preserve">₱25,500</w:t>
            </w:r>
          </w:p>
        </w:tc>
      </w:tr>
      <w:tr>
        <w:tc>
          <w:tcPr>
            <w:shd w:fill="f5f5f5" w:val="clear"/>
            <w:tcMar>
              <w:top w:type="dxa" w:w="80"/>
              <w:left w:type="dxa" w:w="120"/>
              <w:bottom w:type="dxa" w:w="80"/>
              <w:right w:type="dxa" w:w="120"/>
            </w:tcMar>
            <w:vAlign w:val="center"/>
          </w:tcPr>
          <w:p>
            <w:r>
              <w:rPr>
                <w:color w:val="000000"/>
                <w:sz w:val="19"/>
                <w:szCs w:val="19"/>
              </w:rPr>
              <w:t xml:space="preserve">P2 — M3</w:t>
            </w:r>
          </w:p>
        </w:tc>
        <w:tc>
          <w:tcPr>
            <w:shd w:fill="f5f5f5" w:val="clear"/>
            <w:tcMar>
              <w:top w:type="dxa" w:w="80"/>
              <w:left w:type="dxa" w:w="120"/>
              <w:bottom w:type="dxa" w:w="80"/>
              <w:right w:type="dxa" w:w="120"/>
            </w:tcMar>
            <w:vAlign w:val="center"/>
          </w:tcPr>
          <w:p>
            <w:r>
              <w:rPr>
                <w:color w:val="000000"/>
                <w:sz w:val="19"/>
                <w:szCs w:val="19"/>
              </w:rPr>
              <w:t xml:space="preserve">Website go-live with booking system live</w:t>
            </w:r>
          </w:p>
        </w:tc>
        <w:tc>
          <w:tcPr>
            <w:shd w:fill="f5f5f5" w:val="clear"/>
            <w:tcMar>
              <w:top w:type="dxa" w:w="80"/>
              <w:left w:type="dxa" w:w="120"/>
              <w:bottom w:type="dxa" w:w="80"/>
              <w:right w:type="dxa" w:w="120"/>
            </w:tcMar>
            <w:vAlign w:val="center"/>
          </w:tcPr>
          <w:p>
            <w:r>
              <w:rPr>
                <w:color w:val="000000"/>
                <w:sz w:val="19"/>
                <w:szCs w:val="19"/>
              </w:rPr>
              <w:t xml:space="preserve">20%</w:t>
            </w:r>
          </w:p>
        </w:tc>
        <w:tc>
          <w:tcPr>
            <w:shd w:fill="f5f5f5" w:val="clear"/>
            <w:tcMar>
              <w:top w:type="dxa" w:w="80"/>
              <w:left w:type="dxa" w:w="120"/>
              <w:bottom w:type="dxa" w:w="80"/>
              <w:right w:type="dxa" w:w="120"/>
            </w:tcMar>
            <w:vAlign w:val="center"/>
          </w:tcPr>
          <w:p>
            <w:r>
              <w:rPr>
                <w:color w:val="000000"/>
                <w:sz w:val="19"/>
                <w:szCs w:val="19"/>
              </w:rPr>
              <w:t xml:space="preserve">₱17,000</w:t>
            </w:r>
          </w:p>
        </w:tc>
      </w:tr>
    </w:tbl>
    <w:p>
      <w:pPr>
        <w:spacing w:after="240"/>
      </w:pPr>
    </w:p>
    <w:p>
      <w:pPr>
        <w:spacing w:after="120"/>
        <w:jc w:val="left"/>
      </w:pPr>
      <w:r>
        <w:rPr>
          <w:b/>
          <w:bCs/>
          <w:color w:val="000000"/>
          <w:sz w:val="22"/>
          <w:szCs w:val="22"/>
        </w:rPr>
        <w:t xml:space="preserve">Bundle Payment Schedule (Both Packages):</w:t>
      </w:r>
    </w:p>
    <w:p>
      <w:pPr>
        <w:spacing w:after="120"/>
        <w:jc w:val="left"/>
      </w:pPr>
      <w:r>
        <w:rPr>
          <w:color w:val="555555"/>
          <w:sz w:val="20"/>
          <w:szCs w:val="20"/>
        </w:rPr>
        <w:t xml:space="preserve">When both packages are signed simultaneously at the bundle rate of ₱165,000, the following combined milestone schedule applies:</w:t>
      </w:r>
    </w:p>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fill="22c55e" w:val="clear"/>
            <w:tcMar>
              <w:top w:type="dxa" w:w="80"/>
              <w:left w:type="dxa" w:w="120"/>
              <w:bottom w:type="dxa" w:w="80"/>
              <w:right w:type="dxa" w:w="120"/>
            </w:tcMar>
            <w:vAlign w:val="center"/>
          </w:tcPr>
          <w:p>
            <w:r>
              <w:rPr>
                <w:b/>
                <w:bCs/>
                <w:color w:val="ffffff"/>
                <w:sz w:val="18"/>
                <w:szCs w:val="18"/>
              </w:rPr>
              <w:t xml:space="preserve">Milestone</w:t>
            </w:r>
          </w:p>
        </w:tc>
        <w:tc>
          <w:tcPr>
            <w:shd w:fill="22c55e" w:val="clear"/>
            <w:tcMar>
              <w:top w:type="dxa" w:w="80"/>
              <w:left w:type="dxa" w:w="120"/>
              <w:bottom w:type="dxa" w:w="80"/>
              <w:right w:type="dxa" w:w="120"/>
            </w:tcMar>
            <w:vAlign w:val="center"/>
          </w:tcPr>
          <w:p>
            <w:r>
              <w:rPr>
                <w:b/>
                <w:bCs/>
                <w:color w:val="ffffff"/>
                <w:sz w:val="18"/>
                <w:szCs w:val="18"/>
              </w:rPr>
              <w:t xml:space="preserve">Trigger</w:t>
            </w:r>
          </w:p>
        </w:tc>
        <w:tc>
          <w:tcPr>
            <w:shd w:fill="22c55e" w:val="clear"/>
            <w:tcMar>
              <w:top w:type="dxa" w:w="80"/>
              <w:left w:type="dxa" w:w="120"/>
              <w:bottom w:type="dxa" w:w="80"/>
              <w:right w:type="dxa" w:w="120"/>
            </w:tcMar>
            <w:vAlign w:val="center"/>
          </w:tcPr>
          <w:p>
            <w:r>
              <w:rPr>
                <w:b/>
                <w:bCs/>
                <w:color w:val="ffffff"/>
                <w:sz w:val="18"/>
                <w:szCs w:val="18"/>
              </w:rPr>
              <w:t xml:space="preserve">%</w:t>
            </w:r>
          </w:p>
        </w:tc>
        <w:tc>
          <w:tcPr>
            <w:shd w:fill="22c55e" w:val="clear"/>
            <w:tcMar>
              <w:top w:type="dxa" w:w="80"/>
              <w:left w:type="dxa" w:w="120"/>
              <w:bottom w:type="dxa" w:w="80"/>
              <w:right w:type="dxa" w:w="120"/>
            </w:tcMar>
            <w:vAlign w:val="center"/>
          </w:tcPr>
          <w:p>
            <w:r>
              <w:rPr>
                <w:b/>
                <w:bCs/>
                <w:color w:val="ffffff"/>
                <w:sz w:val="18"/>
                <w:szCs w:val="18"/>
              </w:rPr>
              <w:t xml:space="preserve">Amount</w:t>
            </w:r>
          </w:p>
        </w:tc>
      </w:tr>
      <w:tr>
        <w:tc>
          <w:tcPr>
            <w:shd w:fill="ffffff" w:val="clear"/>
            <w:tcMar>
              <w:top w:type="dxa" w:w="80"/>
              <w:left w:type="dxa" w:w="120"/>
              <w:bottom w:type="dxa" w:w="80"/>
              <w:right w:type="dxa" w:w="120"/>
            </w:tcMar>
            <w:vAlign w:val="center"/>
          </w:tcPr>
          <w:p>
            <w:r>
              <w:rPr>
                <w:color w:val="000000"/>
                <w:sz w:val="19"/>
                <w:szCs w:val="19"/>
              </w:rPr>
              <w:t xml:space="preserve">Milestone 1</w:t>
            </w:r>
          </w:p>
        </w:tc>
        <w:tc>
          <w:tcPr>
            <w:shd w:fill="ffffff" w:val="clear"/>
            <w:tcMar>
              <w:top w:type="dxa" w:w="80"/>
              <w:left w:type="dxa" w:w="120"/>
              <w:bottom w:type="dxa" w:w="80"/>
              <w:right w:type="dxa" w:w="120"/>
            </w:tcMar>
            <w:vAlign w:val="center"/>
          </w:tcPr>
          <w:p>
            <w:r>
              <w:rPr>
                <w:color w:val="000000"/>
                <w:sz w:val="19"/>
                <w:szCs w:val="19"/>
              </w:rPr>
              <w:t xml:space="preserve">Upon signing this Agreement</w:t>
            </w:r>
          </w:p>
        </w:tc>
        <w:tc>
          <w:tcPr>
            <w:shd w:fill="ffffff" w:val="clear"/>
            <w:tcMar>
              <w:top w:type="dxa" w:w="80"/>
              <w:left w:type="dxa" w:w="120"/>
              <w:bottom w:type="dxa" w:w="80"/>
              <w:right w:type="dxa" w:w="120"/>
            </w:tcMar>
            <w:vAlign w:val="center"/>
          </w:tcPr>
          <w:p>
            <w:r>
              <w:rPr>
                <w:color w:val="000000"/>
                <w:sz w:val="19"/>
                <w:szCs w:val="19"/>
              </w:rPr>
              <w:t xml:space="preserve">50%</w:t>
            </w:r>
          </w:p>
        </w:tc>
        <w:tc>
          <w:tcPr>
            <w:shd w:fill="ffffff" w:val="clear"/>
            <w:tcMar>
              <w:top w:type="dxa" w:w="80"/>
              <w:left w:type="dxa" w:w="120"/>
              <w:bottom w:type="dxa" w:w="80"/>
              <w:right w:type="dxa" w:w="120"/>
            </w:tcMar>
            <w:vAlign w:val="center"/>
          </w:tcPr>
          <w:p>
            <w:r>
              <w:rPr>
                <w:color w:val="000000"/>
                <w:sz w:val="19"/>
                <w:szCs w:val="19"/>
              </w:rPr>
              <w:t xml:space="preserve">₱82,500</w:t>
            </w:r>
          </w:p>
        </w:tc>
      </w:tr>
      <w:tr>
        <w:tc>
          <w:tcPr>
            <w:shd w:fill="f5f5f5" w:val="clear"/>
            <w:tcMar>
              <w:top w:type="dxa" w:w="80"/>
              <w:left w:type="dxa" w:w="120"/>
              <w:bottom w:type="dxa" w:w="80"/>
              <w:right w:type="dxa" w:w="120"/>
            </w:tcMar>
            <w:vAlign w:val="center"/>
          </w:tcPr>
          <w:p>
            <w:r>
              <w:rPr>
                <w:color w:val="000000"/>
                <w:sz w:val="19"/>
                <w:szCs w:val="19"/>
              </w:rPr>
              <w:t xml:space="preserve">Milestone 2</w:t>
            </w:r>
          </w:p>
        </w:tc>
        <w:tc>
          <w:tcPr>
            <w:shd w:fill="f5f5f5" w:val="clear"/>
            <w:tcMar>
              <w:top w:type="dxa" w:w="80"/>
              <w:left w:type="dxa" w:w="120"/>
              <w:bottom w:type="dxa" w:w="80"/>
              <w:right w:type="dxa" w:w="120"/>
            </w:tcMar>
            <w:vAlign w:val="center"/>
          </w:tcPr>
          <w:p>
            <w:r>
              <w:rPr>
                <w:color w:val="000000"/>
                <w:sz w:val="19"/>
                <w:szCs w:val="19"/>
              </w:rPr>
              <w:t xml:space="preserve">Booking flow live, availability working, and website development complete</w:t>
            </w:r>
          </w:p>
        </w:tc>
        <w:tc>
          <w:tcPr>
            <w:shd w:fill="f5f5f5" w:val="clear"/>
            <w:tcMar>
              <w:top w:type="dxa" w:w="80"/>
              <w:left w:type="dxa" w:w="120"/>
              <w:bottom w:type="dxa" w:w="80"/>
              <w:right w:type="dxa" w:w="120"/>
            </w:tcMar>
            <w:vAlign w:val="center"/>
          </w:tcPr>
          <w:p>
            <w:r>
              <w:rPr>
                <w:color w:val="000000"/>
                <w:sz w:val="19"/>
                <w:szCs w:val="19"/>
              </w:rPr>
              <w:t xml:space="preserve">30%</w:t>
            </w:r>
          </w:p>
        </w:tc>
        <w:tc>
          <w:tcPr>
            <w:shd w:fill="f5f5f5" w:val="clear"/>
            <w:tcMar>
              <w:top w:type="dxa" w:w="80"/>
              <w:left w:type="dxa" w:w="120"/>
              <w:bottom w:type="dxa" w:w="80"/>
              <w:right w:type="dxa" w:w="120"/>
            </w:tcMar>
            <w:vAlign w:val="center"/>
          </w:tcPr>
          <w:p>
            <w:r>
              <w:rPr>
                <w:color w:val="000000"/>
                <w:sz w:val="19"/>
                <w:szCs w:val="19"/>
              </w:rPr>
              <w:t xml:space="preserve">₱49,500</w:t>
            </w:r>
          </w:p>
        </w:tc>
      </w:tr>
      <w:tr>
        <w:tc>
          <w:tcPr>
            <w:shd w:fill="ffffff" w:val="clear"/>
            <w:tcMar>
              <w:top w:type="dxa" w:w="80"/>
              <w:left w:type="dxa" w:w="120"/>
              <w:bottom w:type="dxa" w:w="80"/>
              <w:right w:type="dxa" w:w="120"/>
            </w:tcMar>
            <w:vAlign w:val="center"/>
          </w:tcPr>
          <w:p>
            <w:r>
              <w:rPr>
                <w:color w:val="000000"/>
                <w:sz w:val="19"/>
                <w:szCs w:val="19"/>
              </w:rPr>
              <w:t xml:space="preserve">Milestone 3</w:t>
            </w:r>
          </w:p>
        </w:tc>
        <w:tc>
          <w:tcPr>
            <w:shd w:fill="ffffff" w:val="clear"/>
            <w:tcMar>
              <w:top w:type="dxa" w:w="80"/>
              <w:left w:type="dxa" w:w="120"/>
              <w:bottom w:type="dxa" w:w="80"/>
              <w:right w:type="dxa" w:w="120"/>
            </w:tcMar>
            <w:vAlign w:val="center"/>
          </w:tcPr>
          <w:p>
            <w:r>
              <w:rPr>
                <w:color w:val="000000"/>
                <w:sz w:val="19"/>
                <w:szCs w:val="19"/>
              </w:rPr>
              <w:t xml:space="preserve">Full go-live — payment flow active, notifications live, website launched, full handover</w:t>
            </w:r>
          </w:p>
        </w:tc>
        <w:tc>
          <w:tcPr>
            <w:shd w:fill="ffffff" w:val="clear"/>
            <w:tcMar>
              <w:top w:type="dxa" w:w="80"/>
              <w:left w:type="dxa" w:w="120"/>
              <w:bottom w:type="dxa" w:w="80"/>
              <w:right w:type="dxa" w:w="120"/>
            </w:tcMar>
            <w:vAlign w:val="center"/>
          </w:tcPr>
          <w:p>
            <w:r>
              <w:rPr>
                <w:color w:val="000000"/>
                <w:sz w:val="19"/>
                <w:szCs w:val="19"/>
              </w:rPr>
              <w:t xml:space="preserve">20%</w:t>
            </w:r>
          </w:p>
        </w:tc>
        <w:tc>
          <w:tcPr>
            <w:shd w:fill="ffffff" w:val="clear"/>
            <w:tcMar>
              <w:top w:type="dxa" w:w="80"/>
              <w:left w:type="dxa" w:w="120"/>
              <w:bottom w:type="dxa" w:w="80"/>
              <w:right w:type="dxa" w:w="120"/>
            </w:tcMar>
            <w:vAlign w:val="center"/>
          </w:tcPr>
          <w:p>
            <w:r>
              <w:rPr>
                <w:color w:val="000000"/>
                <w:sz w:val="19"/>
                <w:szCs w:val="19"/>
              </w:rPr>
              <w:t xml:space="preserve">₱33,000</w:t>
            </w:r>
          </w:p>
        </w:tc>
      </w:tr>
      <w:tr>
        <w:tc>
          <w:tcPr>
            <w:shd w:fill="f0fdf4" w:val="clear"/>
            <w:tcMar>
              <w:top w:type="dxa" w:w="80"/>
              <w:left w:type="dxa" w:w="120"/>
              <w:bottom w:type="dxa" w:w="80"/>
              <w:right w:type="dxa" w:w="120"/>
            </w:tcMar>
            <w:vAlign w:val="center"/>
          </w:tcPr>
          <w:p>
            <w:r>
              <w:rPr>
                <w:b/>
                <w:bCs/>
                <w:color w:val="22c55e"/>
                <w:sz w:val="20"/>
                <w:szCs w:val="20"/>
              </w:rPr>
              <w:t xml:space="preserve">BUNDLE TOTAL</w:t>
            </w:r>
          </w:p>
        </w:tc>
        <w:tc>
          <w:tcPr>
            <w:shd w:fill="f0fdf4" w:val="clear"/>
            <w:tcMar>
              <w:top w:type="dxa" w:w="80"/>
              <w:left w:type="dxa" w:w="120"/>
              <w:bottom w:type="dxa" w:w="80"/>
              <w:right w:type="dxa" w:w="120"/>
            </w:tcMar>
            <w:vAlign w:val="center"/>
          </w:tcPr>
          <w:p>
            <w:r>
              <w:rPr>
                <w:b/>
                <w:bCs/>
                <w:color w:val="22c55e"/>
                <w:sz w:val="20"/>
                <w:szCs w:val="20"/>
              </w:rPr>
              <w:t xml:space="preserve"/>
            </w:r>
          </w:p>
        </w:tc>
        <w:tc>
          <w:tcPr>
            <w:shd w:fill="f0fdf4" w:val="clear"/>
            <w:tcMar>
              <w:top w:type="dxa" w:w="80"/>
              <w:left w:type="dxa" w:w="120"/>
              <w:bottom w:type="dxa" w:w="80"/>
              <w:right w:type="dxa" w:w="120"/>
            </w:tcMar>
            <w:vAlign w:val="center"/>
          </w:tcPr>
          <w:p>
            <w:r>
              <w:rPr>
                <w:b/>
                <w:bCs/>
                <w:color w:val="22c55e"/>
                <w:sz w:val="20"/>
                <w:szCs w:val="20"/>
              </w:rPr>
              <w:t xml:space="preserve">100%</w:t>
            </w:r>
          </w:p>
        </w:tc>
        <w:tc>
          <w:tcPr>
            <w:shd w:fill="f0fdf4" w:val="clear"/>
            <w:tcMar>
              <w:top w:type="dxa" w:w="80"/>
              <w:left w:type="dxa" w:w="120"/>
              <w:bottom w:type="dxa" w:w="80"/>
              <w:right w:type="dxa" w:w="120"/>
            </w:tcMar>
            <w:vAlign w:val="center"/>
          </w:tcPr>
          <w:p>
            <w:r>
              <w:rPr>
                <w:b/>
                <w:bCs/>
                <w:color w:val="22c55e"/>
                <w:sz w:val="20"/>
                <w:szCs w:val="20"/>
              </w:rPr>
              <w:t xml:space="preserve">₱165,000</w:t>
            </w:r>
          </w:p>
        </w:tc>
      </w:tr>
    </w:tbl>
    <w:p>
      <w:pPr>
        <w:spacing w:after="120"/>
      </w:pPr>
    </w:p>
    <w:p>
      <w:pPr>
        <w:spacing w:after="120"/>
        <w:jc w:val="left"/>
      </w:pPr>
      <w:r>
        <w:rPr>
          <w:color w:val="000000"/>
          <w:sz w:val="20"/>
          <w:szCs w:val="20"/>
        </w:rPr>
        <w:t xml:space="preserve">Payments are due within 3 business days of each milestone trigger. SKMC reserves the right to pause work if a payment remains outstanding for more than 7 days past the due date.</w:t>
      </w:r>
    </w:p>
    <w:p>
      <w:pPr>
        <w:spacing w:after="240"/>
      </w:pPr>
    </w:p>
    <w:p>
      <w:pPr>
        <w:spacing w:after="120" w:before="400"/>
      </w:pPr>
      <w:r>
        <w:rPr>
          <w:b/>
          <w:bCs/>
          <w:color w:val="000000"/>
          <w:sz w:val="36"/>
          <w:szCs w:val="36"/>
        </w:rPr>
        <w:t xml:space="preserve">3.  Client Obligations</w:t>
      </w:r>
    </w:p>
    <w:p>
      <w:pPr>
        <w:pBdr>
          <w:bottom w:val="single" w:color="22c55e" w:sz="6"/>
        </w:pBdr>
        <w:spacing w:after="200"/>
      </w:pPr>
    </w:p>
    <w:p>
      <w:pPr>
        <w:spacing w:after="120"/>
        <w:jc w:val="left"/>
      </w:pPr>
      <w:r>
        <w:rPr>
          <w:color w:val="000000"/>
          <w:sz w:val="20"/>
          <w:szCs w:val="20"/>
        </w:rPr>
        <w:t xml:space="preserve">The Client agrees to:</w:t>
      </w:r>
    </w:p>
    <w:p>
      <w:pPr>
        <w:pStyle w:val="ListParagraph"/>
        <w:numPr>
          <w:ilvl w:val="0"/>
          <w:numId w:val="1"/>
        </w:numPr>
        <w:spacing w:after="80"/>
        <w:ind w:left="360"/>
      </w:pPr>
      <w:r>
        <w:rPr>
          <w:color w:val="000000"/>
          <w:sz w:val="20"/>
          <w:szCs w:val="20"/>
        </w:rPr>
        <w:t xml:space="preserve">Provide brand assets (logo, colours, photography) within 5 business days of signing.</w:t>
      </w:r>
    </w:p>
    <w:p>
      <w:pPr>
        <w:pStyle w:val="ListParagraph"/>
        <w:numPr>
          <w:ilvl w:val="0"/>
          <w:numId w:val="1"/>
        </w:numPr>
        <w:spacing w:after="80"/>
        <w:ind w:left="360"/>
      </w:pPr>
      <w:r>
        <w:rPr>
          <w:color w:val="000000"/>
          <w:sz w:val="20"/>
          <w:szCs w:val="20"/>
        </w:rPr>
        <w:t xml:space="preserve">Register payment accounts for GCash, Maya, and GoTyme as required for the payment flow. SKMC will assist with setup but the accounts belong to the Client.</w:t>
      </w:r>
    </w:p>
    <w:p>
      <w:pPr>
        <w:pStyle w:val="ListParagraph"/>
        <w:numPr>
          <w:ilvl w:val="0"/>
          <w:numId w:val="1"/>
        </w:numPr>
        <w:spacing w:after="80"/>
        <w:ind w:left="360"/>
      </w:pPr>
      <w:r>
        <w:rPr>
          <w:color w:val="000000"/>
          <w:sz w:val="20"/>
          <w:szCs w:val="20"/>
        </w:rPr>
        <w:t xml:space="preserve">Procure a domain name and hosting account if required. SKMC will configure and point these.</w:t>
      </w:r>
    </w:p>
    <w:p>
      <w:pPr>
        <w:pStyle w:val="ListParagraph"/>
        <w:numPr>
          <w:ilvl w:val="0"/>
          <w:numId w:val="1"/>
        </w:numPr>
        <w:spacing w:after="80"/>
        <w:ind w:left="360"/>
      </w:pPr>
      <w:r>
        <w:rPr>
          <w:color w:val="000000"/>
          <w:sz w:val="20"/>
          <w:szCs w:val="20"/>
        </w:rPr>
        <w:t xml:space="preserve">Designate one point of contact who can provide timely feedback and approvals during the project.</w:t>
      </w:r>
    </w:p>
    <w:p>
      <w:pPr>
        <w:pStyle w:val="ListParagraph"/>
        <w:numPr>
          <w:ilvl w:val="0"/>
          <w:numId w:val="1"/>
        </w:numPr>
        <w:spacing w:after="80"/>
        <w:ind w:left="360"/>
      </w:pPr>
      <w:r>
        <w:rPr>
          <w:color w:val="000000"/>
          <w:sz w:val="20"/>
          <w:szCs w:val="20"/>
        </w:rPr>
        <w:t xml:space="preserve">Respond to review requests within 5 business days. Delays caused by late feedback may extend the project timeline accordingly.</w:t>
      </w:r>
    </w:p>
    <w:p>
      <w:pPr>
        <w:pStyle w:val="ListParagraph"/>
        <w:numPr>
          <w:ilvl w:val="0"/>
          <w:numId w:val="1"/>
        </w:numPr>
        <w:spacing w:after="80"/>
        <w:ind w:left="360"/>
      </w:pPr>
      <w:r>
        <w:rPr>
          <w:color w:val="000000"/>
          <w:sz w:val="20"/>
          <w:szCs w:val="20"/>
        </w:rPr>
        <w:t xml:space="preserve">Provide access to any third-party accounts SKMC needs to complete the integration (Supabase, Vercel, Resend, Semaphore, domain registrar, etc.).</w:t>
      </w:r>
    </w:p>
    <w:p>
      <w:pPr>
        <w:spacing w:after="240"/>
      </w:pPr>
    </w:p>
    <w:p>
      <w:pPr>
        <w:spacing w:after="120" w:before="400"/>
      </w:pPr>
      <w:r>
        <w:rPr>
          <w:b/>
          <w:bCs/>
          <w:color w:val="000000"/>
          <w:sz w:val="36"/>
          <w:szCs w:val="36"/>
        </w:rPr>
        <w:t xml:space="preserve">4.  Intellectual Property</w:t>
      </w:r>
    </w:p>
    <w:p>
      <w:pPr>
        <w:pBdr>
          <w:bottom w:val="single" w:color="22c55e" w:sz="6"/>
        </w:pBdr>
        <w:spacing w:after="200"/>
      </w:pPr>
    </w:p>
    <w:p>
      <w:pPr>
        <w:spacing w:after="120"/>
        <w:jc w:val="left"/>
      </w:pPr>
      <w:r>
        <w:rPr>
          <w:color w:val="000000"/>
          <w:sz w:val="20"/>
          <w:szCs w:val="20"/>
        </w:rPr>
        <w:t xml:space="preserve">Upon receipt of full payment for each package, the Client owns the final delivered outputs of that package — including the website files, booking application code, and documentation.</w:t>
      </w:r>
    </w:p>
    <w:p>
      <w:pPr>
        <w:spacing w:after="120"/>
      </w:pPr>
    </w:p>
    <w:p>
      <w:pPr>
        <w:spacing w:after="120"/>
        <w:jc w:val="left"/>
      </w:pPr>
      <w:r>
        <w:rPr>
          <w:color w:val="000000"/>
          <w:sz w:val="20"/>
          <w:szCs w:val="20"/>
        </w:rPr>
        <w:t xml:space="preserve">SKMC retains the right to:</w:t>
      </w:r>
    </w:p>
    <w:p>
      <w:pPr>
        <w:pStyle w:val="ListParagraph"/>
        <w:numPr>
          <w:ilvl w:val="0"/>
          <w:numId w:val="1"/>
        </w:numPr>
        <w:spacing w:after="80"/>
        <w:ind w:left="360"/>
      </w:pPr>
      <w:r>
        <w:rPr>
          <w:color w:val="000000"/>
          <w:sz w:val="20"/>
          <w:szCs w:val="20"/>
        </w:rPr>
        <w:t xml:space="preserve">Use general methods, frameworks, and know-how developed during this project in future engagements.</w:t>
      </w:r>
    </w:p>
    <w:p>
      <w:pPr>
        <w:pStyle w:val="ListParagraph"/>
        <w:numPr>
          <w:ilvl w:val="0"/>
          <w:numId w:val="1"/>
        </w:numPr>
        <w:spacing w:after="80"/>
        <w:ind w:left="360"/>
      </w:pPr>
      <w:r>
        <w:rPr>
          <w:color w:val="000000"/>
          <w:sz w:val="20"/>
          <w:szCs w:val="20"/>
        </w:rPr>
        <w:t xml:space="preserve">Reference Sideout Pickleball as a client in SKMC's portfolio (with no disclosure of confidential business data).</w:t>
      </w:r>
    </w:p>
    <w:p>
      <w:pPr>
        <w:spacing w:after="120"/>
      </w:pPr>
    </w:p>
    <w:p>
      <w:pPr>
        <w:spacing w:after="120"/>
        <w:jc w:val="left"/>
      </w:pPr>
      <w:r>
        <w:rPr>
          <w:color w:val="000000"/>
          <w:sz w:val="20"/>
          <w:szCs w:val="20"/>
        </w:rPr>
        <w:t xml:space="preserve">Third-party tools and services used in the project (Supabase, Vercel, Resend, Semaphore) are subject to their respective providers' terms and licences. SKMC makes no ownership claim over these tools.</w:t>
      </w:r>
    </w:p>
    <w:p>
      <w:pPr>
        <w:spacing w:after="240"/>
      </w:pPr>
    </w:p>
    <w:p>
      <w:pPr>
        <w:spacing w:after="120" w:before="400"/>
      </w:pPr>
      <w:r>
        <w:rPr>
          <w:b/>
          <w:bCs/>
          <w:color w:val="000000"/>
          <w:sz w:val="36"/>
          <w:szCs w:val="36"/>
        </w:rPr>
        <w:t xml:space="preserve">5.  Revisions &amp; Change Requests</w:t>
      </w:r>
    </w:p>
    <w:p>
      <w:pPr>
        <w:pBdr>
          <w:bottom w:val="single" w:color="22c55e" w:sz="6"/>
        </w:pBdr>
        <w:spacing w:after="200"/>
      </w:pPr>
    </w:p>
    <w:p>
      <w:pPr>
        <w:spacing w:after="120"/>
        <w:jc w:val="left"/>
      </w:pPr>
      <w:r>
        <w:rPr>
          <w:color w:val="000000"/>
          <w:sz w:val="20"/>
          <w:szCs w:val="20"/>
        </w:rPr>
        <w:t xml:space="preserve">The following revision and change request terms apply:</w:t>
      </w:r>
    </w:p>
    <w:p>
      <w:pPr>
        <w:pStyle w:val="ListParagraph"/>
        <w:numPr>
          <w:ilvl w:val="0"/>
          <w:numId w:val="1"/>
        </w:numPr>
        <w:spacing w:after="80"/>
        <w:ind w:left="360"/>
      </w:pPr>
      <w:r>
        <w:rPr>
          <w:color w:val="000000"/>
          <w:sz w:val="20"/>
          <w:szCs w:val="20"/>
        </w:rPr>
        <w:t xml:space="preserve">Up to 5 post-launch revisions are included in the total fee. Revisions are minor adjustments — content updates, small config changes, cosmetic fixes.</w:t>
      </w:r>
    </w:p>
    <w:p>
      <w:pPr>
        <w:pStyle w:val="ListParagraph"/>
        <w:numPr>
          <w:ilvl w:val="0"/>
          <w:numId w:val="1"/>
        </w:numPr>
        <w:spacing w:after="80"/>
        <w:ind w:left="360"/>
      </w:pPr>
      <w:r>
        <w:rPr>
          <w:color w:val="000000"/>
          <w:sz w:val="20"/>
          <w:szCs w:val="20"/>
        </w:rPr>
        <w:t xml:space="preserve">Revisions beyond 5 are billed at ₱3,000 per revision.</w:t>
      </w:r>
    </w:p>
    <w:p>
      <w:pPr>
        <w:pStyle w:val="ListParagraph"/>
        <w:numPr>
          <w:ilvl w:val="0"/>
          <w:numId w:val="1"/>
        </w:numPr>
        <w:spacing w:after="80"/>
        <w:ind w:left="360"/>
      </w:pPr>
      <w:r>
        <w:rPr>
          <w:color w:val="000000"/>
          <w:sz w:val="20"/>
          <w:szCs w:val="20"/>
        </w:rPr>
        <w:t xml:space="preserve">Minor feature additions (e.g. new notification trigger, pricing rule change): ₱15,000–₱20,000.</w:t>
      </w:r>
    </w:p>
    <w:p>
      <w:pPr>
        <w:pStyle w:val="ListParagraph"/>
        <w:numPr>
          <w:ilvl w:val="0"/>
          <w:numId w:val="1"/>
        </w:numPr>
        <w:spacing w:after="80"/>
        <w:ind w:left="360"/>
      </w:pPr>
      <w:r>
        <w:rPr>
          <w:color w:val="000000"/>
          <w:sz w:val="20"/>
          <w:szCs w:val="20"/>
        </w:rPr>
        <w:t xml:space="preserve">Major feature additions (e.g. new booking channel, custom reporting module, new payment gateway): ₱25,000–₱30,000 depending on scope and complexity.</w:t>
      </w:r>
    </w:p>
    <w:p>
      <w:pPr>
        <w:pStyle w:val="ListParagraph"/>
        <w:numPr>
          <w:ilvl w:val="0"/>
          <w:numId w:val="1"/>
        </w:numPr>
        <w:spacing w:after="80"/>
        <w:ind w:left="360"/>
      </w:pPr>
      <w:r>
        <w:rPr>
          <w:color w:val="000000"/>
          <w:sz w:val="20"/>
          <w:szCs w:val="20"/>
        </w:rPr>
        <w:t xml:space="preserve">All change requests must be submitted in writing. SKMC will provide a written scope and quote before any work begins.</w:t>
      </w:r>
    </w:p>
    <w:p>
      <w:pPr>
        <w:spacing w:after="240"/>
      </w:pPr>
    </w:p>
    <w:p>
      <w:pPr>
        <w:spacing w:after="120" w:before="400"/>
      </w:pPr>
      <w:r>
        <w:rPr>
          <w:b/>
          <w:bCs/>
          <w:color w:val="000000"/>
          <w:sz w:val="36"/>
          <w:szCs w:val="36"/>
        </w:rPr>
        <w:t xml:space="preserve">6.  Timeline</w:t>
      </w:r>
    </w:p>
    <w:p>
      <w:pPr>
        <w:pBdr>
          <w:bottom w:val="single" w:color="22c55e" w:sz="6"/>
        </w:pBdr>
        <w:spacing w:after="200"/>
      </w:pPr>
    </w:p>
    <w:p>
      <w:pPr>
        <w:spacing w:after="120"/>
        <w:jc w:val="left"/>
      </w:pPr>
      <w:r>
        <w:rPr>
          <w:color w:val="000000"/>
          <w:sz w:val="20"/>
          <w:szCs w:val="20"/>
        </w:rPr>
        <w:t xml:space="preserve">SKMC targets the following delivery windows from the date of signing and receipt of the first milestone payment:</w:t>
      </w:r>
    </w:p>
    <w:p>
      <w:pPr>
        <w:pStyle w:val="ListParagraph"/>
        <w:numPr>
          <w:ilvl w:val="0"/>
          <w:numId w:val="1"/>
        </w:numPr>
        <w:spacing w:after="80"/>
        <w:ind w:left="360"/>
      </w:pPr>
      <w:r>
        <w:rPr>
          <w:color w:val="000000"/>
          <w:sz w:val="20"/>
          <w:szCs w:val="20"/>
        </w:rPr>
        <w:t xml:space="preserve">Package 1 — Booking System: 4 weeks to go-live.</w:t>
      </w:r>
    </w:p>
    <w:p>
      <w:pPr>
        <w:pStyle w:val="ListParagraph"/>
        <w:numPr>
          <w:ilvl w:val="0"/>
          <w:numId w:val="1"/>
        </w:numPr>
        <w:spacing w:after="80"/>
        <w:ind w:left="360"/>
      </w:pPr>
      <w:r>
        <w:rPr>
          <w:color w:val="000000"/>
          <w:sz w:val="20"/>
          <w:szCs w:val="20"/>
        </w:rPr>
        <w:t xml:space="preserve">Package 2 — Website: 4 weeks to go-live.</w:t>
      </w:r>
    </w:p>
    <w:p>
      <w:pPr>
        <w:pStyle w:val="ListParagraph"/>
        <w:numPr>
          <w:ilvl w:val="0"/>
          <w:numId w:val="1"/>
        </w:numPr>
        <w:spacing w:after="80"/>
        <w:ind w:left="360"/>
      </w:pPr>
      <w:r>
        <w:rPr>
          <w:color w:val="000000"/>
          <w:sz w:val="20"/>
          <w:szCs w:val="20"/>
        </w:rPr>
        <w:t xml:space="preserve">Both packages can run concurrently.</w:t>
      </w:r>
    </w:p>
    <w:p>
      <w:pPr>
        <w:spacing w:after="120"/>
      </w:pPr>
    </w:p>
    <w:p>
      <w:pPr>
        <w:spacing w:after="120"/>
        <w:jc w:val="left"/>
      </w:pPr>
      <w:r>
        <w:rPr>
          <w:color w:val="000000"/>
          <w:sz w:val="20"/>
          <w:szCs w:val="20"/>
        </w:rPr>
        <w:t xml:space="preserve">Timelines are estimates. Delays caused by late client feedback, missing assets, or third-party account issues (payment gateway registration, domain registrar, Supabase, Vercel) are not counted against SKMC's delivery commitment.</w:t>
      </w:r>
    </w:p>
    <w:p>
      <w:pPr>
        <w:spacing w:after="240"/>
      </w:pPr>
    </w:p>
    <w:p>
      <w:pPr>
        <w:spacing w:after="120" w:before="400"/>
      </w:pPr>
      <w:r>
        <w:rPr>
          <w:b/>
          <w:bCs/>
          <w:color w:val="000000"/>
          <w:sz w:val="36"/>
          <w:szCs w:val="36"/>
        </w:rPr>
        <w:t xml:space="preserve">7.  Confidentiality</w:t>
      </w:r>
    </w:p>
    <w:p>
      <w:pPr>
        <w:pBdr>
          <w:bottom w:val="single" w:color="22c55e" w:sz="6"/>
        </w:pBdr>
        <w:spacing w:after="200"/>
      </w:pPr>
    </w:p>
    <w:p>
      <w:pPr>
        <w:spacing w:after="120"/>
        <w:jc w:val="left"/>
      </w:pPr>
      <w:r>
        <w:rPr>
          <w:color w:val="000000"/>
          <w:sz w:val="20"/>
          <w:szCs w:val="20"/>
        </w:rPr>
        <w:t xml:space="preserve">Both parties agree to keep confidential any sensitive business information shared during this engagement — including pricing, customer data, booking volumes, and operational details.</w:t>
      </w:r>
    </w:p>
    <w:p>
      <w:pPr>
        <w:spacing w:after="120"/>
      </w:pPr>
    </w:p>
    <w:p>
      <w:pPr>
        <w:spacing w:after="120"/>
        <w:jc w:val="left"/>
      </w:pPr>
      <w:r>
        <w:rPr>
          <w:color w:val="000000"/>
          <w:sz w:val="20"/>
          <w:szCs w:val="20"/>
        </w:rPr>
        <w:t xml:space="preserve">This obligation survives the end of this Agreement. Neither party will disclose the other's confidential information to any third party without prior written consent.</w:t>
      </w:r>
    </w:p>
    <w:p>
      <w:pPr>
        <w:spacing w:after="240"/>
      </w:pPr>
    </w:p>
    <w:p>
      <w:pPr>
        <w:spacing w:after="120" w:before="400"/>
      </w:pPr>
      <w:r>
        <w:rPr>
          <w:b/>
          <w:bCs/>
          <w:color w:val="000000"/>
          <w:sz w:val="36"/>
          <w:szCs w:val="36"/>
        </w:rPr>
        <w:t xml:space="preserve">8.  Cancellation &amp; Kill Fee</w:t>
      </w:r>
    </w:p>
    <w:p>
      <w:pPr>
        <w:pBdr>
          <w:bottom w:val="single" w:color="22c55e" w:sz="6"/>
        </w:pBdr>
        <w:spacing w:after="200"/>
      </w:pPr>
    </w:p>
    <w:p>
      <w:pPr>
        <w:spacing w:after="120"/>
        <w:jc w:val="left"/>
      </w:pPr>
      <w:r>
        <w:rPr>
          <w:color w:val="000000"/>
          <w:sz w:val="20"/>
          <w:szCs w:val="20"/>
        </w:rPr>
        <w:t xml:space="preserve">Either party may cancel this Agreement with 7 days' written notice. The following applies upon cancellation:</w:t>
      </w:r>
    </w:p>
    <w:p>
      <w:pPr>
        <w:pStyle w:val="ListParagraph"/>
        <w:numPr>
          <w:ilvl w:val="0"/>
          <w:numId w:val="1"/>
        </w:numPr>
        <w:spacing w:after="80"/>
        <w:ind w:left="360"/>
      </w:pPr>
      <w:r>
        <w:rPr>
          <w:color w:val="000000"/>
          <w:sz w:val="20"/>
          <w:szCs w:val="20"/>
        </w:rPr>
        <w:t xml:space="preserve">Payments made for milestones already completed are non-refundable.</w:t>
      </w:r>
    </w:p>
    <w:p>
      <w:pPr>
        <w:pStyle w:val="ListParagraph"/>
        <w:numPr>
          <w:ilvl w:val="0"/>
          <w:numId w:val="1"/>
        </w:numPr>
        <w:spacing w:after="80"/>
        <w:ind w:left="360"/>
      </w:pPr>
      <w:r>
        <w:rPr>
          <w:color w:val="000000"/>
          <w:sz w:val="20"/>
          <w:szCs w:val="20"/>
        </w:rPr>
        <w:t xml:space="preserve">If the Client cancels after work on a milestone has begun but before it is complete, a kill fee of 50% of that milestone's value is payable within 7 days of cancellation.</w:t>
      </w:r>
    </w:p>
    <w:p>
      <w:pPr>
        <w:pStyle w:val="ListParagraph"/>
        <w:numPr>
          <w:ilvl w:val="0"/>
          <w:numId w:val="1"/>
        </w:numPr>
        <w:spacing w:after="80"/>
        <w:ind w:left="360"/>
      </w:pPr>
      <w:r>
        <w:rPr>
          <w:color w:val="000000"/>
          <w:sz w:val="20"/>
          <w:szCs w:val="20"/>
        </w:rPr>
        <w:t xml:space="preserve">SKMC will deliver all completed work up to the cancellation date upon receipt of any outstanding payments.</w:t>
      </w:r>
    </w:p>
    <w:p>
      <w:pPr>
        <w:pStyle w:val="ListParagraph"/>
        <w:numPr>
          <w:ilvl w:val="0"/>
          <w:numId w:val="1"/>
        </w:numPr>
        <w:spacing w:after="80"/>
        <w:ind w:left="360"/>
      </w:pPr>
      <w:r>
        <w:rPr>
          <w:color w:val="000000"/>
          <w:sz w:val="20"/>
          <w:szCs w:val="20"/>
        </w:rPr>
        <w:t xml:space="preserve">If SKMC cancels without cause, SKMC will refund any prepaid amounts for work not yet started.</w:t>
      </w:r>
    </w:p>
    <w:p>
      <w:pPr>
        <w:spacing w:after="240"/>
      </w:pPr>
    </w:p>
    <w:p>
      <w:pPr>
        <w:spacing w:after="120" w:before="400"/>
      </w:pPr>
      <w:r>
        <w:rPr>
          <w:b/>
          <w:bCs/>
          <w:color w:val="000000"/>
          <w:sz w:val="36"/>
          <w:szCs w:val="36"/>
        </w:rPr>
        <w:t xml:space="preserve">9.  Warranties &amp; Limitation of Liability</w:t>
      </w:r>
    </w:p>
    <w:p>
      <w:pPr>
        <w:pBdr>
          <w:bottom w:val="single" w:color="22c55e" w:sz="6"/>
        </w:pBdr>
        <w:spacing w:after="200"/>
      </w:pPr>
    </w:p>
    <w:p>
      <w:pPr>
        <w:spacing w:after="120"/>
        <w:jc w:val="left"/>
      </w:pPr>
      <w:r>
        <w:rPr>
          <w:color w:val="000000"/>
          <w:sz w:val="20"/>
          <w:szCs w:val="20"/>
        </w:rPr>
        <w:t xml:space="preserve">SKMC warrants that:</w:t>
      </w:r>
    </w:p>
    <w:p>
      <w:pPr>
        <w:pStyle w:val="ListParagraph"/>
        <w:numPr>
          <w:ilvl w:val="0"/>
          <w:numId w:val="1"/>
        </w:numPr>
        <w:spacing w:after="80"/>
        <w:ind w:left="360"/>
      </w:pPr>
      <w:r>
        <w:rPr>
          <w:color w:val="000000"/>
          <w:sz w:val="20"/>
          <w:szCs w:val="20"/>
        </w:rPr>
        <w:t xml:space="preserve">The delivered system will function as described in the Reference Quote at the time of handover.</w:t>
      </w:r>
    </w:p>
    <w:p>
      <w:pPr>
        <w:pStyle w:val="ListParagraph"/>
        <w:numPr>
          <w:ilvl w:val="0"/>
          <w:numId w:val="1"/>
        </w:numPr>
        <w:spacing w:after="80"/>
        <w:ind w:left="360"/>
      </w:pPr>
      <w:r>
        <w:rPr>
          <w:color w:val="000000"/>
          <w:sz w:val="20"/>
          <w:szCs w:val="20"/>
        </w:rPr>
        <w:t xml:space="preserve">Any bugs identified within 30 days of go-live will be fixed at no extra charge.</w:t>
      </w:r>
    </w:p>
    <w:p>
      <w:pPr>
        <w:spacing w:after="120"/>
      </w:pPr>
    </w:p>
    <w:p>
      <w:pPr>
        <w:spacing w:after="120"/>
        <w:jc w:val="left"/>
      </w:pPr>
      <w:r>
        <w:rPr>
          <w:color w:val="000000"/>
          <w:sz w:val="20"/>
          <w:szCs w:val="20"/>
        </w:rPr>
        <w:t xml:space="preserve">SKMC is not liable for:</w:t>
      </w:r>
    </w:p>
    <w:p>
      <w:pPr>
        <w:pStyle w:val="ListParagraph"/>
        <w:numPr>
          <w:ilvl w:val="0"/>
          <w:numId w:val="1"/>
        </w:numPr>
        <w:spacing w:after="80"/>
        <w:ind w:left="360"/>
      </w:pPr>
      <w:r>
        <w:rPr>
          <w:color w:val="000000"/>
          <w:sz w:val="20"/>
          <w:szCs w:val="20"/>
        </w:rPr>
        <w:t xml:space="preserve">Loss of revenue, bookings, or business opportunities arising from system downtime after handover.</w:t>
      </w:r>
    </w:p>
    <w:p>
      <w:pPr>
        <w:pStyle w:val="ListParagraph"/>
        <w:numPr>
          <w:ilvl w:val="0"/>
          <w:numId w:val="1"/>
        </w:numPr>
        <w:spacing w:after="80"/>
        <w:ind w:left="360"/>
      </w:pPr>
      <w:r>
        <w:rPr>
          <w:color w:val="000000"/>
          <w:sz w:val="20"/>
          <w:szCs w:val="20"/>
        </w:rPr>
        <w:t xml:space="preserve">Issues caused by third-party services (Supabase, Vercel, Resend, Semaphore) outside SKMC's control.</w:t>
      </w:r>
    </w:p>
    <w:p>
      <w:pPr>
        <w:pStyle w:val="ListParagraph"/>
        <w:numPr>
          <w:ilvl w:val="0"/>
          <w:numId w:val="1"/>
        </w:numPr>
        <w:spacing w:after="80"/>
        <w:ind w:left="360"/>
      </w:pPr>
      <w:r>
        <w:rPr>
          <w:color w:val="000000"/>
          <w:sz w:val="20"/>
          <w:szCs w:val="20"/>
        </w:rPr>
        <w:t xml:space="preserve">Data loss resulting from the Client's own actions or failure to maintain backups after handover.</w:t>
      </w:r>
    </w:p>
    <w:p>
      <w:pPr>
        <w:spacing w:after="120"/>
      </w:pPr>
    </w:p>
    <w:p>
      <w:pPr>
        <w:spacing w:after="120"/>
        <w:jc w:val="left"/>
      </w:pPr>
      <w:r>
        <w:rPr>
          <w:color w:val="000000"/>
          <w:sz w:val="20"/>
          <w:szCs w:val="20"/>
        </w:rPr>
        <w:t xml:space="preserve">SKMC's total liability under this Agreement shall not exceed the total fees paid by the Client for the relevant package.</w:t>
      </w:r>
    </w:p>
    <w:p>
      <w:pPr>
        <w:spacing w:after="240"/>
      </w:pPr>
    </w:p>
    <w:p>
      <w:pPr>
        <w:spacing w:after="120" w:before="400"/>
      </w:pPr>
      <w:r>
        <w:rPr>
          <w:b/>
          <w:bCs/>
          <w:color w:val="000000"/>
          <w:sz w:val="36"/>
          <w:szCs w:val="36"/>
        </w:rPr>
        <w:t xml:space="preserve">10.  Dispute Resolution</w:t>
      </w:r>
    </w:p>
    <w:p>
      <w:pPr>
        <w:pBdr>
          <w:bottom w:val="single" w:color="22c55e" w:sz="6"/>
        </w:pBdr>
        <w:spacing w:after="200"/>
      </w:pPr>
    </w:p>
    <w:p>
      <w:pPr>
        <w:spacing w:after="120"/>
        <w:jc w:val="left"/>
      </w:pPr>
      <w:r>
        <w:rPr>
          <w:color w:val="000000"/>
          <w:sz w:val="20"/>
          <w:szCs w:val="20"/>
        </w:rPr>
        <w:t xml:space="preserve">If a dispute arises, both parties agree to first attempt to resolve it in good faith through direct discussion within 14 days of the dispute being raised in writing.</w:t>
      </w:r>
    </w:p>
    <w:p>
      <w:pPr>
        <w:spacing w:after="120"/>
      </w:pPr>
    </w:p>
    <w:p>
      <w:pPr>
        <w:spacing w:after="120"/>
        <w:jc w:val="left"/>
      </w:pPr>
      <w:r>
        <w:rPr>
          <w:color w:val="000000"/>
          <w:sz w:val="20"/>
          <w:szCs w:val="20"/>
        </w:rPr>
        <w:t xml:space="preserve">If the dispute is not resolved within 14 days, both parties agree to seek mediation before pursuing any legal action. This Agreement is governed by the laws of the Republic of the Philippines. Any legal proceedings shall be brought in the appropriate courts of Cebu City.</w:t>
      </w:r>
    </w:p>
    <w:p>
      <w:pPr>
        <w:spacing w:after="240"/>
      </w:pPr>
    </w:p>
    <w:p>
      <w:pPr>
        <w:spacing w:after="120" w:before="400"/>
      </w:pPr>
      <w:r>
        <w:rPr>
          <w:b/>
          <w:bCs/>
          <w:color w:val="000000"/>
          <w:sz w:val="36"/>
          <w:szCs w:val="36"/>
        </w:rPr>
        <w:t xml:space="preserve">11.  General</w:t>
      </w:r>
    </w:p>
    <w:p>
      <w:pPr>
        <w:pBdr>
          <w:bottom w:val="single" w:color="22c55e" w:sz="6"/>
        </w:pBdr>
        <w:spacing w:after="200"/>
      </w:pPr>
    </w:p>
    <w:p>
      <w:pPr>
        <w:pStyle w:val="ListParagraph"/>
        <w:numPr>
          <w:ilvl w:val="0"/>
          <w:numId w:val="1"/>
        </w:numPr>
        <w:spacing w:after="80"/>
        <w:ind w:left="360"/>
      </w:pPr>
      <w:r>
        <w:rPr>
          <w:color w:val="000000"/>
          <w:sz w:val="20"/>
          <w:szCs w:val="20"/>
        </w:rPr>
        <w:t xml:space="preserve">This Agreement, together with the Reference Quote, constitutes the entire agreement between the parties and supersedes all prior discussions.</w:t>
      </w:r>
    </w:p>
    <w:p>
      <w:pPr>
        <w:pStyle w:val="ListParagraph"/>
        <w:numPr>
          <w:ilvl w:val="0"/>
          <w:numId w:val="1"/>
        </w:numPr>
        <w:spacing w:after="80"/>
        <w:ind w:left="360"/>
      </w:pPr>
      <w:r>
        <w:rPr>
          <w:color w:val="000000"/>
          <w:sz w:val="20"/>
          <w:szCs w:val="20"/>
        </w:rPr>
        <w:t xml:space="preserve">Amendments to this Agreement must be made in writing and signed by both parties.</w:t>
      </w:r>
    </w:p>
    <w:p>
      <w:pPr>
        <w:pStyle w:val="ListParagraph"/>
        <w:numPr>
          <w:ilvl w:val="0"/>
          <w:numId w:val="1"/>
        </w:numPr>
        <w:spacing w:after="80"/>
        <w:ind w:left="360"/>
      </w:pPr>
      <w:r>
        <w:rPr>
          <w:color w:val="000000"/>
          <w:sz w:val="20"/>
          <w:szCs w:val="20"/>
        </w:rPr>
        <w:t xml:space="preserve">If any clause is found to be unenforceable, the remaining clauses continue in full force.</w:t>
      </w:r>
    </w:p>
    <w:p>
      <w:pPr>
        <w:pStyle w:val="ListParagraph"/>
        <w:numPr>
          <w:ilvl w:val="0"/>
          <w:numId w:val="1"/>
        </w:numPr>
        <w:spacing w:after="80"/>
        <w:ind w:left="360"/>
      </w:pPr>
      <w:r>
        <w:rPr>
          <w:color w:val="000000"/>
          <w:sz w:val="20"/>
          <w:szCs w:val="20"/>
        </w:rPr>
        <w:t xml:space="preserve">Notices under this Agreement may be sent by email and are effective upon acknowledgement of receipt.</w:t>
      </w:r>
    </w:p>
    <w:p>
      <w:pPr>
        <w:spacing w:after="360"/>
      </w:pPr>
    </w:p>
    <w:p>
      <w:pPr>
        <w:spacing w:after="120" w:before="400"/>
      </w:pPr>
      <w:r>
        <w:rPr>
          <w:b/>
          <w:bCs/>
          <w:color w:val="000000"/>
          <w:sz w:val="36"/>
          <w:szCs w:val="36"/>
        </w:rPr>
        <w:t xml:space="preserve">Signatures</w:t>
      </w:r>
    </w:p>
    <w:p>
      <w:pPr>
        <w:pBdr>
          <w:bottom w:val="single" w:color="22c55e" w:sz="6"/>
        </w:pBdr>
        <w:spacing w:after="200"/>
      </w:pPr>
    </w:p>
    <w:p>
      <w:pPr>
        <w:spacing w:after="120"/>
        <w:jc w:val="left"/>
      </w:pPr>
      <w:r>
        <w:rPr>
          <w:color w:val="333333"/>
          <w:sz w:val="20"/>
          <w:szCs w:val="20"/>
        </w:rPr>
        <w:t xml:space="preserve">By signing below, both parties confirm they have read and agreed to the terms of this Service Agreement and the Reference Quote attached.</w:t>
      </w:r>
    </w:p>
    <w:p>
      <w:pPr>
        <w:spacing w:after="240"/>
      </w:pPr>
    </w:p>
    <w:tbl>
      <w:tblPr>
        <w:tblW w:type="pct" w:w="100%"/>
        <w:tblBorders>
          <w:top w:val="none"/>
          <w:left w:val="none"/>
          <w:bottom w:val="none"/>
          <w:right w:val="none"/>
          <w:insideH w:val="single" w:color="auto" w:sz="4"/>
          <w:insideV w:val="single" w:color="auto" w:sz="4"/>
        </w:tblBorders>
        <w:tblLayout w:type="fixed"/>
      </w:tblPr>
      <w:tblGrid>
        <w:gridCol w:w="100"/>
        <w:gridCol w:w="100"/>
      </w:tblGrid>
      <w:tr>
        <w:tc>
          <w:tcPr>
            <w:tcW w:type="pct" w:w="50%"/>
            <w:tcBorders>
              <w:top w:val="none"/>
              <w:left w:val="none"/>
              <w:bottom w:val="none"/>
              <w:right w:val="none"/>
            </w:tcBorders>
          </w:tcPr>
          <w:p>
            <w:pPr>
              <w:spacing w:after="40"/>
            </w:pPr>
            <w:r>
              <w:rPr>
                <w:b/>
                <w:bCs/>
                <w:color w:val="22c55e"/>
                <w:sz w:val="22"/>
                <w:szCs w:val="22"/>
              </w:rPr>
              <w:t xml:space="preserve">Sideout Pickleball</w:t>
            </w:r>
          </w:p>
          <w:p>
            <w:pPr>
              <w:spacing w:after="120"/>
            </w:pPr>
            <w:r>
              <w:rPr>
                <w:color w:val="555555"/>
                <w:sz w:val="18"/>
                <w:szCs w:val="18"/>
              </w:rPr>
              <w:t xml:space="preserve">Client</w:t>
            </w:r>
          </w:p>
          <w:p>
            <w:pPr>
              <w:spacing w:after="80"/>
            </w:pPr>
            <w:r>
              <w:rPr>
                <w:color w:val="000000"/>
                <w:sz w:val="18"/>
                <w:szCs w:val="18"/>
              </w:rPr>
              <w:t xml:space="preserve">Authorised Signatory</w:t>
            </w:r>
          </w:p>
          <w:p>
            <w:pPr>
              <w:spacing w:after="80"/>
            </w:pPr>
            <w:r>
              <w:rPr>
                <w:color w:val="000000"/>
                <w:sz w:val="18"/>
                <w:szCs w:val="18"/>
              </w:rPr>
              <w:t xml:space="preserve">Name (Print): ___________________________</w:t>
            </w:r>
          </w:p>
          <w:p>
            <w:pPr>
              <w:spacing w:after="80"/>
            </w:pPr>
            <w:r>
              <w:rPr>
                <w:color w:val="000000"/>
                <w:sz w:val="18"/>
                <w:szCs w:val="18"/>
              </w:rPr>
              <w:t xml:space="preserve">Title / Position: ________________________</w:t>
            </w:r>
          </w:p>
          <w:p>
            <w:pPr>
              <w:spacing w:after="80"/>
            </w:pPr>
            <w:r>
              <w:rPr>
                <w:color w:val="000000"/>
                <w:sz w:val="18"/>
                <w:szCs w:val="18"/>
              </w:rPr>
              <w:t xml:space="preserve">Date: __________________________________</w:t>
            </w:r>
          </w:p>
        </w:tc>
        <w:tc>
          <w:tcPr>
            <w:tcW w:type="pct" w:w="50%"/>
            <w:tcBorders>
              <w:top w:val="none"/>
              <w:left w:val="none"/>
              <w:bottom w:val="none"/>
              <w:right w:val="none"/>
            </w:tcBorders>
          </w:tcPr>
          <w:p>
            <w:pPr>
              <w:spacing w:after="40"/>
            </w:pPr>
            <w:r>
              <w:rPr>
                <w:b/>
                <w:bCs/>
                <w:color w:val="22c55e"/>
                <w:sz w:val="22"/>
                <w:szCs w:val="22"/>
              </w:rPr>
              <w:t xml:space="preserve">SKMC Consulting</w:t>
            </w:r>
          </w:p>
          <w:p>
            <w:pPr>
              <w:spacing w:after="120"/>
            </w:pPr>
            <w:r>
              <w:rPr>
                <w:color w:val="555555"/>
                <w:sz w:val="18"/>
                <w:szCs w:val="18"/>
              </w:rPr>
              <w:t xml:space="preserve">Service Provider</w:t>
            </w:r>
          </w:p>
          <w:p>
            <w:pPr>
              <w:spacing w:after="80"/>
            </w:pPr>
            <w:r>
              <w:rPr>
                <w:color w:val="000000"/>
                <w:sz w:val="18"/>
                <w:szCs w:val="18"/>
              </w:rPr>
              <w:t xml:space="preserve">Authorised Signatory</w:t>
            </w:r>
          </w:p>
          <w:p>
            <w:pPr>
              <w:spacing w:after="80"/>
            </w:pPr>
            <w:r>
              <w:rPr>
                <w:color w:val="000000"/>
                <w:sz w:val="18"/>
                <w:szCs w:val="18"/>
              </w:rPr>
              <w:t xml:space="preserve">Name (Print): ___________________________</w:t>
            </w:r>
          </w:p>
          <w:p>
            <w:pPr>
              <w:spacing w:after="80"/>
            </w:pPr>
            <w:r>
              <w:rPr>
                <w:color w:val="000000"/>
                <w:sz w:val="18"/>
                <w:szCs w:val="18"/>
              </w:rPr>
              <w:t xml:space="preserve">Title / Position: ________________________</w:t>
            </w:r>
          </w:p>
          <w:p>
            <w:pPr>
              <w:spacing w:after="80"/>
            </w:pPr>
            <w:r>
              <w:rPr>
                <w:color w:val="000000"/>
                <w:sz w:val="18"/>
                <w:szCs w:val="18"/>
              </w:rPr>
              <w:t xml:space="preserve">Date: __________________________________</w:t>
            </w:r>
          </w:p>
        </w:tc>
      </w:tr>
    </w:tbl>
    <w:p>
      <w:pPr>
        <w:spacing w:after="240"/>
      </w:pPr>
    </w:p>
    <w:p>
      <w:pPr>
        <w:spacing w:before="400"/>
        <w:jc w:val="center"/>
      </w:pPr>
      <w:r>
        <w:rPr>
          <w:b/>
          <w:bCs/>
          <w:color w:val="22c55e"/>
          <w:sz w:val="22"/>
          <w:szCs w:val="22"/>
        </w:rPr>
        <w:t xml:space="preserve">Thank you for choosing SKMC Consulting. We look forward to building this with you.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2026-04-21T06:33:56.409Z</dcterms:created>
  <dcterms:modified xsi:type="dcterms:W3CDTF">2026-04-21T06:33:56.409Z</dcterms:modified>
</cp:coreProperties>
</file>

<file path=docProps/custom.xml><?xml version="1.0" encoding="utf-8"?>
<Properties xmlns="http://schemas.openxmlformats.org/officeDocument/2006/custom-properties" xmlns:vt="http://schemas.openxmlformats.org/officeDocument/2006/docPropsVTypes"/>
</file>