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260" w:rsidRPr="00AF7260" w:rsidRDefault="00857A76" w:rsidP="00CD7819">
      <w:pPr>
        <w:rPr>
          <w:rFonts w:asciiTheme="majorHAnsi" w:hAnsiTheme="majorHAnsi" w:cstheme="majorHAnsi"/>
          <w:b/>
          <w:sz w:val="32"/>
          <w:szCs w:val="32"/>
        </w:rPr>
      </w:pPr>
      <w:r w:rsidRPr="00AF7260">
        <w:rPr>
          <w:rFonts w:asciiTheme="majorHAnsi" w:hAnsiTheme="majorHAnsi" w:cstheme="majorHAnsi"/>
          <w:b/>
          <w:sz w:val="32"/>
          <w:szCs w:val="32"/>
        </w:rPr>
        <w:t>Title</w:t>
      </w:r>
      <w:r w:rsidR="00CD7819">
        <w:rPr>
          <w:rFonts w:asciiTheme="majorHAnsi" w:hAnsiTheme="majorHAnsi" w:cstheme="majorHAnsi"/>
          <w:b/>
          <w:sz w:val="32"/>
          <w:szCs w:val="32"/>
        </w:rPr>
        <w:t>:-</w:t>
      </w:r>
    </w:p>
    <w:p w:rsidR="00AF7260" w:rsidRDefault="00AF7260" w:rsidP="00AF7260">
      <w:pPr>
        <w:rPr>
          <w:rFonts w:cstheme="minorHAnsi"/>
        </w:rPr>
      </w:pPr>
      <w:r>
        <w:rPr>
          <w:rFonts w:asciiTheme="majorHAnsi" w:hAnsiTheme="majorHAnsi" w:cstheme="majorHAnsi"/>
          <w:b/>
          <w:sz w:val="28"/>
          <w:szCs w:val="28"/>
        </w:rPr>
        <w:t xml:space="preserve">     </w:t>
      </w:r>
      <w:r w:rsidR="00A01FC7">
        <w:rPr>
          <w:rFonts w:asciiTheme="majorHAnsi" w:hAnsiTheme="majorHAnsi" w:cstheme="majorHAnsi"/>
          <w:b/>
          <w:sz w:val="28"/>
          <w:szCs w:val="28"/>
        </w:rPr>
        <w:t xml:space="preserve"> </w:t>
      </w:r>
      <w:r w:rsidR="00CD7819">
        <w:rPr>
          <w:rFonts w:asciiTheme="majorHAnsi" w:hAnsiTheme="majorHAnsi" w:cstheme="majorHAnsi"/>
          <w:b/>
          <w:sz w:val="28"/>
          <w:szCs w:val="28"/>
        </w:rPr>
        <w:tab/>
      </w:r>
      <w:r w:rsidRPr="00AF7260">
        <w:rPr>
          <w:rFonts w:cstheme="minorHAnsi"/>
          <w:u w:val="single"/>
        </w:rPr>
        <w:t>A Decade of Economic Trends: Analyzing Key Indicators from World Bank Data for Selected Countries</w:t>
      </w:r>
    </w:p>
    <w:p w:rsidR="00857A76" w:rsidRDefault="00CD7819" w:rsidP="00AF7260">
      <w:pPr>
        <w:spacing w:before="240"/>
        <w:rPr>
          <w:rFonts w:asciiTheme="majorHAnsi" w:hAnsiTheme="majorHAnsi" w:cstheme="majorHAnsi"/>
          <w:b/>
          <w:sz w:val="28"/>
          <w:szCs w:val="28"/>
        </w:rPr>
      </w:pPr>
      <w:r>
        <w:rPr>
          <w:rFonts w:asciiTheme="majorHAnsi" w:hAnsiTheme="majorHAnsi" w:cstheme="majorHAnsi"/>
          <w:b/>
          <w:sz w:val="28"/>
          <w:szCs w:val="28"/>
        </w:rPr>
        <w:t>Name:-</w:t>
      </w:r>
    </w:p>
    <w:p w:rsidR="00CD7819" w:rsidRDefault="00CD7819" w:rsidP="00AF7260">
      <w:pPr>
        <w:spacing w:before="240"/>
        <w:rPr>
          <w:rFonts w:asciiTheme="majorHAnsi" w:hAnsiTheme="majorHAnsi" w:cstheme="majorHAnsi"/>
          <w:sz w:val="28"/>
          <w:szCs w:val="28"/>
        </w:rPr>
      </w:pPr>
      <w:r>
        <w:rPr>
          <w:rFonts w:asciiTheme="majorHAnsi" w:hAnsiTheme="majorHAnsi" w:cstheme="majorHAnsi"/>
          <w:b/>
          <w:sz w:val="28"/>
          <w:szCs w:val="28"/>
        </w:rPr>
        <w:tab/>
      </w:r>
      <w:proofErr w:type="spellStart"/>
      <w:r>
        <w:rPr>
          <w:rFonts w:asciiTheme="majorHAnsi" w:hAnsiTheme="majorHAnsi" w:cstheme="majorHAnsi"/>
          <w:sz w:val="28"/>
          <w:szCs w:val="28"/>
        </w:rPr>
        <w:t>Shazia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Nasim</w:t>
      </w:r>
      <w:proofErr w:type="spellEnd"/>
    </w:p>
    <w:p w:rsidR="00CD7819" w:rsidRDefault="00CD7819" w:rsidP="00AF7260">
      <w:pPr>
        <w:spacing w:before="240"/>
        <w:rPr>
          <w:rFonts w:asciiTheme="majorHAnsi" w:hAnsiTheme="majorHAnsi" w:cstheme="majorHAnsi"/>
          <w:b/>
          <w:sz w:val="28"/>
          <w:szCs w:val="28"/>
        </w:rPr>
      </w:pPr>
      <w:r w:rsidRPr="00CD7819">
        <w:rPr>
          <w:rFonts w:asciiTheme="majorHAnsi" w:hAnsiTheme="majorHAnsi" w:cstheme="majorHAnsi"/>
          <w:b/>
          <w:sz w:val="28"/>
          <w:szCs w:val="28"/>
        </w:rPr>
        <w:t>Abstract</w:t>
      </w:r>
      <w:r>
        <w:rPr>
          <w:rFonts w:asciiTheme="majorHAnsi" w:hAnsiTheme="majorHAnsi" w:cstheme="majorHAnsi"/>
          <w:b/>
          <w:sz w:val="28"/>
          <w:szCs w:val="28"/>
        </w:rPr>
        <w:t>:-</w:t>
      </w:r>
    </w:p>
    <w:p w:rsidR="00CD7819" w:rsidRDefault="00CD7819" w:rsidP="00CD7819">
      <w:pPr>
        <w:rPr>
          <w:rFonts w:cstheme="minorHAnsi"/>
        </w:rPr>
      </w:pPr>
      <w:r>
        <w:rPr>
          <w:rFonts w:asciiTheme="majorHAnsi" w:hAnsiTheme="majorHAnsi" w:cstheme="majorHAnsi"/>
          <w:b/>
          <w:sz w:val="28"/>
          <w:szCs w:val="28"/>
        </w:rPr>
        <w:tab/>
      </w:r>
      <w:r>
        <w:rPr>
          <w:rFonts w:asciiTheme="majorHAnsi" w:hAnsiTheme="majorHAnsi" w:cstheme="majorHAnsi"/>
          <w:b/>
          <w:sz w:val="28"/>
          <w:szCs w:val="28"/>
        </w:rPr>
        <w:tab/>
      </w:r>
      <w:r w:rsidRPr="002F1B3A">
        <w:rPr>
          <w:rFonts w:cstheme="minorHAnsi"/>
        </w:rPr>
        <w:t>This comprehensive analysis explored various indicators, including urban and rural population, infl</w:t>
      </w:r>
      <w:r>
        <w:rPr>
          <w:rFonts w:cstheme="minorHAnsi"/>
        </w:rPr>
        <w:t>ation, GDP growth, fuel imports and trade</w:t>
      </w:r>
      <w:r w:rsidRPr="002F1B3A">
        <w:rPr>
          <w:rFonts w:cstheme="minorHAnsi"/>
        </w:rPr>
        <w:t xml:space="preserve"> for selected countries over a 10-year period. Line plots r</w:t>
      </w:r>
      <w:r w:rsidR="00187F46">
        <w:rPr>
          <w:rFonts w:cstheme="minorHAnsi"/>
        </w:rPr>
        <w:t>evealed trends and fluctuations</w:t>
      </w:r>
      <w:r w:rsidRPr="002F1B3A">
        <w:rPr>
          <w:rFonts w:cstheme="minorHAnsi"/>
        </w:rPr>
        <w:t xml:space="preserve"> while bar charts provided a clear visual of country-specific data. Correlation </w:t>
      </w:r>
      <w:proofErr w:type="spellStart"/>
      <w:r w:rsidRPr="002F1B3A">
        <w:rPr>
          <w:rFonts w:cstheme="minorHAnsi"/>
        </w:rPr>
        <w:t>heatmaps</w:t>
      </w:r>
      <w:proofErr w:type="spellEnd"/>
      <w:r w:rsidRPr="002F1B3A">
        <w:rPr>
          <w:rFonts w:cstheme="minorHAnsi"/>
        </w:rPr>
        <w:t xml:space="preserve"> unveiled interrelationships between indicators and statistical methods such as </w:t>
      </w:r>
      <w:r w:rsidR="00187F46">
        <w:rPr>
          <w:rFonts w:cstheme="minorHAnsi"/>
        </w:rPr>
        <w:t xml:space="preserve">mean, </w:t>
      </w:r>
      <w:r w:rsidRPr="002F1B3A">
        <w:rPr>
          <w:rFonts w:cstheme="minorHAnsi"/>
        </w:rPr>
        <w:t>skewness and kurtosis offered insights into data distribution characteristics. Results indicated notable variations in indicators among countries, highlighting patterns and potential fact</w:t>
      </w:r>
      <w:r>
        <w:rPr>
          <w:rFonts w:cstheme="minorHAnsi"/>
        </w:rPr>
        <w:t xml:space="preserve">ors influencing economic trends </w:t>
      </w:r>
      <w:r w:rsidR="00187F46">
        <w:rPr>
          <w:rFonts w:cstheme="minorHAnsi"/>
        </w:rPr>
        <w:t xml:space="preserve">for example </w:t>
      </w:r>
      <w:proofErr w:type="spellStart"/>
      <w:r>
        <w:rPr>
          <w:rFonts w:cstheme="minorHAnsi"/>
        </w:rPr>
        <w:t>india</w:t>
      </w:r>
      <w:proofErr w:type="spellEnd"/>
      <w:r>
        <w:rPr>
          <w:rFonts w:cstheme="minorHAnsi"/>
        </w:rPr>
        <w:t xml:space="preserve"> and Canada has highest inflation while other side </w:t>
      </w:r>
      <w:proofErr w:type="spellStart"/>
      <w:r>
        <w:rPr>
          <w:rFonts w:cstheme="minorHAnsi"/>
        </w:rPr>
        <w:t>india</w:t>
      </w:r>
      <w:proofErr w:type="spellEnd"/>
      <w:r>
        <w:rPr>
          <w:rFonts w:cstheme="minorHAnsi"/>
        </w:rPr>
        <w:t xml:space="preserve"> has least urban population and its inflation did not impact on its GDP growth which is second highest.</w:t>
      </w:r>
    </w:p>
    <w:p w:rsidR="0027537E" w:rsidRDefault="0027537E" w:rsidP="00CD7819">
      <w:pPr>
        <w:rPr>
          <w:rFonts w:cstheme="minorHAnsi"/>
        </w:rPr>
      </w:pPr>
    </w:p>
    <w:p w:rsidR="0027537E" w:rsidRPr="0027537E" w:rsidRDefault="0027537E" w:rsidP="00CD7819">
      <w:pPr>
        <w:rPr>
          <w:rFonts w:cstheme="minorHAnsi"/>
          <w:b/>
        </w:rPr>
      </w:pPr>
      <w:proofErr w:type="spellStart"/>
      <w:r w:rsidRPr="0027537E">
        <w:rPr>
          <w:rFonts w:cstheme="minorHAnsi"/>
          <w:b/>
        </w:rPr>
        <w:t>Github</w:t>
      </w:r>
      <w:proofErr w:type="spellEnd"/>
      <w:r w:rsidRPr="0027537E">
        <w:rPr>
          <w:rFonts w:cstheme="minorHAnsi"/>
          <w:b/>
        </w:rPr>
        <w:t xml:space="preserve"> link:-</w:t>
      </w:r>
      <w:bookmarkStart w:id="0" w:name="_GoBack"/>
      <w:bookmarkEnd w:id="0"/>
    </w:p>
    <w:p w:rsidR="00CD7819" w:rsidRPr="00CD7819" w:rsidRDefault="00CD7819" w:rsidP="00AF7260">
      <w:pPr>
        <w:spacing w:before="240"/>
        <w:rPr>
          <w:rFonts w:asciiTheme="majorHAnsi" w:hAnsiTheme="majorHAnsi" w:cstheme="majorHAnsi"/>
          <w:sz w:val="28"/>
          <w:szCs w:val="28"/>
        </w:rPr>
      </w:pPr>
    </w:p>
    <w:p w:rsidR="00CD7819" w:rsidRPr="00A01FC7" w:rsidRDefault="00CD7819" w:rsidP="00AF7260">
      <w:pPr>
        <w:spacing w:before="240"/>
        <w:rPr>
          <w:rFonts w:asciiTheme="majorHAnsi" w:hAnsiTheme="majorHAnsi" w:cstheme="majorHAnsi"/>
          <w:b/>
          <w:sz w:val="28"/>
          <w:szCs w:val="28"/>
        </w:rPr>
      </w:pPr>
    </w:p>
    <w:p w:rsidR="00857A76" w:rsidRDefault="00857A76">
      <w:r>
        <w:br w:type="page"/>
      </w:r>
    </w:p>
    <w:p w:rsidR="00AF7260" w:rsidRDefault="00A01FC7" w:rsidP="00857A76">
      <w:pPr>
        <w:rPr>
          <w:rFonts w:cstheme="minorHAnsi"/>
        </w:rPr>
      </w:pPr>
      <w:r w:rsidRPr="00AF7260">
        <w:rPr>
          <w:rFonts w:cstheme="minorHAnsi"/>
          <w:u w:val="single"/>
        </w:rPr>
        <w:lastRenderedPageBreak/>
        <w:t>A Decade of Economic Trends: Analyzing Key Indicators from World Bank Data for Selected Countries</w:t>
      </w:r>
    </w:p>
    <w:p w:rsidR="00857A76" w:rsidRDefault="00857A76" w:rsidP="00857A76">
      <w:pPr>
        <w:rPr>
          <w:rFonts w:cstheme="minorHAnsi"/>
        </w:rPr>
      </w:pPr>
      <w:r w:rsidRPr="004A7D5C">
        <w:rPr>
          <w:rFonts w:cstheme="minorHAnsi"/>
        </w:rPr>
        <w:t xml:space="preserve">This analysis focuses on countries from various continents, examining their data over a 10-year period to explore the </w:t>
      </w:r>
      <w:r>
        <w:rPr>
          <w:rFonts w:cstheme="minorHAnsi"/>
        </w:rPr>
        <w:t xml:space="preserve">interdependence </w:t>
      </w:r>
      <w:r w:rsidRPr="004A7D5C">
        <w:rPr>
          <w:rFonts w:cstheme="minorHAnsi"/>
        </w:rPr>
        <w:t>key factors influencing</w:t>
      </w:r>
      <w:r>
        <w:rPr>
          <w:rFonts w:cstheme="minorHAnsi"/>
        </w:rPr>
        <w:t xml:space="preserve"> the economy. The factors under i</w:t>
      </w:r>
      <w:r w:rsidRPr="004A7D5C">
        <w:rPr>
          <w:rFonts w:cstheme="minorHAnsi"/>
        </w:rPr>
        <w:t>nvestigation include rural and urban population, inflation, GDP growth, fuel imports and trade</w:t>
      </w:r>
      <w:r>
        <w:rPr>
          <w:rFonts w:cstheme="minorHAnsi"/>
        </w:rPr>
        <w:t>.</w:t>
      </w:r>
    </w:p>
    <w:p w:rsidR="00857A76" w:rsidRDefault="00857A76" w:rsidP="00857A76">
      <w:pPr>
        <w:rPr>
          <w:rFonts w:cstheme="minorHAnsi"/>
        </w:rPr>
      </w:pPr>
      <w:r w:rsidRPr="004A7D5C">
        <w:rPr>
          <w:rFonts w:cstheme="minorHAnsi"/>
        </w:rPr>
        <w:t>The presented visualization illustrates diverse analyses based on World Bank indicators across multiple countries.</w:t>
      </w:r>
    </w:p>
    <w:p w:rsidR="00857A76" w:rsidRDefault="00857A76">
      <w:pPr>
        <w:sectPr w:rsidR="00857A76" w:rsidSect="00CD7819">
          <w:pgSz w:w="11907" w:h="16839" w:code="9"/>
          <w:pgMar w:top="864" w:right="864" w:bottom="864" w:left="864" w:header="720" w:footer="720" w:gutter="0"/>
          <w:cols w:space="720"/>
          <w:docGrid w:linePitch="360"/>
        </w:sectPr>
      </w:pPr>
    </w:p>
    <w:p w:rsidR="001A0511" w:rsidRDefault="00857A76">
      <w:r w:rsidRPr="001A0435">
        <w:rPr>
          <w:noProof/>
        </w:rPr>
        <w:drawing>
          <wp:inline distT="0" distB="0" distL="0" distR="0" wp14:anchorId="2C91C2FD" wp14:editId="6EF2337B">
            <wp:extent cx="3002915" cy="1652481"/>
            <wp:effectExtent l="0" t="0" r="6985" b="5080"/>
            <wp:docPr id="5" name="Picture 5" descr="E:\MSC Data Science\First Semester\Applied Data Science\assignments\second assignment\final\plots\bar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SC Data Science\First Semester\Applied Data Science\assignments\second assignment\final\plots\bar 4.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02915" cy="1652481"/>
                    </a:xfrm>
                    <a:prstGeom prst="rect">
                      <a:avLst/>
                    </a:prstGeom>
                    <a:noFill/>
                    <a:ln>
                      <a:noFill/>
                    </a:ln>
                  </pic:spPr>
                </pic:pic>
              </a:graphicData>
            </a:graphic>
          </wp:inline>
        </w:drawing>
      </w:r>
    </w:p>
    <w:p w:rsidR="00857A76" w:rsidRDefault="00857A76">
      <w:r>
        <w:t xml:space="preserve">                                 Figure 1</w:t>
      </w:r>
    </w:p>
    <w:p w:rsidR="00857A76" w:rsidRDefault="00857A76" w:rsidP="00857A76">
      <w:pPr>
        <w:rPr>
          <w:rFonts w:cstheme="minorHAnsi"/>
        </w:rPr>
      </w:pPr>
      <w:r w:rsidRPr="004A7D5C">
        <w:rPr>
          <w:rFonts w:cstheme="minorHAnsi"/>
        </w:rPr>
        <w:t>The bar graph represents the GDP growth trends of selected count</w:t>
      </w:r>
      <w:r>
        <w:rPr>
          <w:rFonts w:cstheme="minorHAnsi"/>
        </w:rPr>
        <w:t>ries from 2010 to 2020. Overall,</w:t>
      </w:r>
      <w:r w:rsidRPr="004A7D5C">
        <w:rPr>
          <w:rFonts w:cstheme="minorHAnsi"/>
        </w:rPr>
        <w:t xml:space="preserve"> China and </w:t>
      </w:r>
      <w:r>
        <w:rPr>
          <w:rFonts w:cstheme="minorHAnsi"/>
        </w:rPr>
        <w:t xml:space="preserve">India showed higher GDP growth </w:t>
      </w:r>
      <w:r w:rsidRPr="004A7D5C">
        <w:rPr>
          <w:rFonts w:cstheme="minorHAnsi"/>
        </w:rPr>
        <w:t>but</w:t>
      </w:r>
      <w:r>
        <w:rPr>
          <w:rFonts w:cstheme="minorHAnsi"/>
        </w:rPr>
        <w:t xml:space="preserve"> in 2020, </w:t>
      </w:r>
      <w:r w:rsidRPr="004A7D5C">
        <w:rPr>
          <w:rFonts w:cstheme="minorHAnsi"/>
        </w:rPr>
        <w:t xml:space="preserve">all </w:t>
      </w:r>
      <w:r>
        <w:rPr>
          <w:rFonts w:cstheme="minorHAnsi"/>
        </w:rPr>
        <w:t xml:space="preserve">other </w:t>
      </w:r>
      <w:r w:rsidRPr="004A7D5C">
        <w:rPr>
          <w:rFonts w:cstheme="minorHAnsi"/>
        </w:rPr>
        <w:t>countries</w:t>
      </w:r>
      <w:r>
        <w:rPr>
          <w:rFonts w:cstheme="minorHAnsi"/>
        </w:rPr>
        <w:t xml:space="preserve"> including India</w:t>
      </w:r>
      <w:r w:rsidRPr="004A7D5C">
        <w:rPr>
          <w:rFonts w:cstheme="minorHAnsi"/>
        </w:rPr>
        <w:t xml:space="preserve"> experienced a decline. Notably, China's GDP growth remained positive, distinguishing itself from the general trend of economic downturn among other nations.</w:t>
      </w:r>
    </w:p>
    <w:p w:rsidR="00857A76" w:rsidRDefault="00857A76">
      <w:r w:rsidRPr="001A0435">
        <w:rPr>
          <w:rFonts w:cstheme="minorHAnsi"/>
          <w:noProof/>
        </w:rPr>
        <w:drawing>
          <wp:inline distT="0" distB="0" distL="0" distR="0" wp14:anchorId="252420CA" wp14:editId="760AA1C6">
            <wp:extent cx="3002915" cy="1656358"/>
            <wp:effectExtent l="0" t="0" r="6985" b="1270"/>
            <wp:docPr id="6" name="Picture 6" descr="E:\MSC Data Science\First Semester\Applied Data Science\assignments\second assignment\final\plots\bar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SC Data Science\First Semester\Applied Data Science\assignments\second assignment\final\plots\bar 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2915" cy="1656358"/>
                    </a:xfrm>
                    <a:prstGeom prst="rect">
                      <a:avLst/>
                    </a:prstGeom>
                    <a:noFill/>
                    <a:ln>
                      <a:noFill/>
                    </a:ln>
                  </pic:spPr>
                </pic:pic>
              </a:graphicData>
            </a:graphic>
          </wp:inline>
        </w:drawing>
      </w:r>
    </w:p>
    <w:p w:rsidR="00857A76" w:rsidRDefault="00857A76">
      <w:r>
        <w:t xml:space="preserve">                                Figure 2</w:t>
      </w:r>
    </w:p>
    <w:p w:rsidR="00857A76" w:rsidRPr="005670EB" w:rsidRDefault="00857A76" w:rsidP="00857A76">
      <w:r w:rsidRPr="004A7D5C">
        <w:rPr>
          <w:rFonts w:cstheme="minorHAnsi"/>
        </w:rPr>
        <w:t>The bar graph</w:t>
      </w:r>
      <w:r>
        <w:rPr>
          <w:rFonts w:cstheme="minorHAnsi"/>
        </w:rPr>
        <w:t xml:space="preserve"> (Figure 2)</w:t>
      </w:r>
      <w:r w:rsidRPr="004A7D5C">
        <w:rPr>
          <w:rFonts w:cstheme="minorHAnsi"/>
        </w:rPr>
        <w:t xml:space="preserve"> demonstrates the fuel imports of selected countries, with India and China being the highest importers. However, it's important to note that a direct comparison between India and China may not be suitable due to significant differences in their fuel import quantities.</w:t>
      </w:r>
    </w:p>
    <w:p w:rsidR="00857A76" w:rsidRDefault="00857A76" w:rsidP="00857A76">
      <w:pPr>
        <w:rPr>
          <w:rFonts w:cstheme="minorHAnsi"/>
        </w:rPr>
      </w:pPr>
      <w:r w:rsidRPr="004A7D5C">
        <w:rPr>
          <w:rFonts w:cstheme="minorHAnsi"/>
        </w:rPr>
        <w:t xml:space="preserve">In both </w:t>
      </w:r>
      <w:r>
        <w:rPr>
          <w:rFonts w:cstheme="minorHAnsi"/>
        </w:rPr>
        <w:t xml:space="preserve">(Figure 1 &amp; Figure 2) </w:t>
      </w:r>
      <w:r w:rsidRPr="004A7D5C">
        <w:rPr>
          <w:rFonts w:cstheme="minorHAnsi"/>
        </w:rPr>
        <w:t>fue</w:t>
      </w:r>
      <w:r>
        <w:rPr>
          <w:rFonts w:cstheme="minorHAnsi"/>
        </w:rPr>
        <w:t>l imports and GDP growth,</w:t>
      </w:r>
      <w:r w:rsidRPr="004A7D5C">
        <w:rPr>
          <w:rFonts w:cstheme="minorHAnsi"/>
        </w:rPr>
        <w:t xml:space="preserve"> India and China stand out as the top countries. Meanwhile, the UK and Germany show varying patterns in their GDP growth and fuel imports, experiencing both increases and decreases. The link between GDP growth and fuel import advocates that a growing economy may lead to an increased demand for fuel resources.</w:t>
      </w:r>
    </w:p>
    <w:p w:rsidR="00857A76" w:rsidRDefault="00857A76">
      <w:r w:rsidRPr="0071470D">
        <w:rPr>
          <w:rFonts w:cstheme="minorHAnsi"/>
          <w:noProof/>
        </w:rPr>
        <w:drawing>
          <wp:inline distT="0" distB="0" distL="0" distR="0" wp14:anchorId="59CA72BF" wp14:editId="46A0DFA1">
            <wp:extent cx="3002915" cy="2199275"/>
            <wp:effectExtent l="0" t="0" r="6985" b="0"/>
            <wp:docPr id="7" name="Picture 7" descr="E:\MSC Data Science\First Semester\Applied Data Science\assignments\second assignment\final\plots\ch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SC Data Science\First Semester\Applied Data Science\assignments\second assignment\final\plots\chin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2915" cy="2199275"/>
                    </a:xfrm>
                    <a:prstGeom prst="rect">
                      <a:avLst/>
                    </a:prstGeom>
                    <a:noFill/>
                    <a:ln>
                      <a:noFill/>
                    </a:ln>
                  </pic:spPr>
                </pic:pic>
              </a:graphicData>
            </a:graphic>
          </wp:inline>
        </w:drawing>
      </w:r>
    </w:p>
    <w:p w:rsidR="00857A76" w:rsidRDefault="00857A76">
      <w:r>
        <w:t xml:space="preserve">                                  Figure 3</w:t>
      </w:r>
    </w:p>
    <w:p w:rsidR="00857A76" w:rsidRPr="006F6081" w:rsidRDefault="00857A76" w:rsidP="00857A76">
      <w:pPr>
        <w:rPr>
          <w:rFonts w:cstheme="minorHAnsi"/>
        </w:rPr>
      </w:pPr>
      <w:r w:rsidRPr="006F6081">
        <w:rPr>
          <w:rFonts w:cstheme="minorHAnsi"/>
        </w:rPr>
        <w:t xml:space="preserve">The correlation </w:t>
      </w:r>
      <w:proofErr w:type="spellStart"/>
      <w:r w:rsidRPr="006F6081">
        <w:rPr>
          <w:rFonts w:cstheme="minorHAnsi"/>
        </w:rPr>
        <w:t>heatmap</w:t>
      </w:r>
      <w:proofErr w:type="spellEnd"/>
      <w:r w:rsidRPr="006F6081">
        <w:rPr>
          <w:rFonts w:cstheme="minorHAnsi"/>
        </w:rPr>
        <w:t xml:space="preserve"> for China </w:t>
      </w:r>
      <w:r>
        <w:rPr>
          <w:rFonts w:cstheme="minorHAnsi"/>
        </w:rPr>
        <w:t>indicate</w:t>
      </w:r>
      <w:r w:rsidRPr="006F6081">
        <w:rPr>
          <w:rFonts w:cstheme="minorHAnsi"/>
        </w:rPr>
        <w:t xml:space="preserve"> that an increase in fuel imports is </w:t>
      </w:r>
      <w:r>
        <w:rPr>
          <w:rFonts w:cstheme="minorHAnsi"/>
        </w:rPr>
        <w:t>associated with growth in trade</w:t>
      </w:r>
      <w:r w:rsidRPr="006F6081">
        <w:rPr>
          <w:rFonts w:cstheme="minorHAnsi"/>
        </w:rPr>
        <w:t xml:space="preserve"> and a rise in trade corresponds to higher GDP growth. Typically, urban population, GDP growth, and trade tend to increase together, but in China, rural population positively influences both GDP growth and trade.</w:t>
      </w:r>
    </w:p>
    <w:p w:rsidR="00857A76" w:rsidRDefault="00857A76">
      <w:r w:rsidRPr="00A51C43">
        <w:rPr>
          <w:rFonts w:cstheme="minorHAnsi"/>
          <w:noProof/>
        </w:rPr>
        <w:drawing>
          <wp:inline distT="0" distB="0" distL="0" distR="0" wp14:anchorId="3B31C557" wp14:editId="7F6C5E30">
            <wp:extent cx="3002915" cy="1868385"/>
            <wp:effectExtent l="0" t="0" r="6985" b="0"/>
            <wp:docPr id="11" name="Picture 11" descr="E:\MSC Data Science\First Semester\Applied Data Science\assignments\second assignment\final\plots\inf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SC Data Science\First Semester\Applied Data Science\assignments\second assignment\final\plots\infl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2915" cy="1868385"/>
                    </a:xfrm>
                    <a:prstGeom prst="rect">
                      <a:avLst/>
                    </a:prstGeom>
                    <a:noFill/>
                    <a:ln>
                      <a:noFill/>
                    </a:ln>
                  </pic:spPr>
                </pic:pic>
              </a:graphicData>
            </a:graphic>
          </wp:inline>
        </w:drawing>
      </w:r>
    </w:p>
    <w:p w:rsidR="00857A76" w:rsidRDefault="00857A76">
      <w:r>
        <w:t xml:space="preserve">                                   Figure 4</w:t>
      </w:r>
    </w:p>
    <w:p w:rsidR="00857A76" w:rsidRDefault="00857A76" w:rsidP="00857A76">
      <w:pPr>
        <w:rPr>
          <w:rFonts w:cstheme="minorHAnsi"/>
        </w:rPr>
      </w:pPr>
      <w:r w:rsidRPr="00420809">
        <w:rPr>
          <w:rFonts w:cstheme="minorHAnsi"/>
        </w:rPr>
        <w:t xml:space="preserve">The </w:t>
      </w:r>
      <w:r>
        <w:rPr>
          <w:rFonts w:cstheme="minorHAnsi"/>
        </w:rPr>
        <w:t xml:space="preserve">figure 4 </w:t>
      </w:r>
      <w:r w:rsidRPr="00420809">
        <w:rPr>
          <w:rFonts w:cstheme="minorHAnsi"/>
        </w:rPr>
        <w:t>d</w:t>
      </w:r>
      <w:r>
        <w:rPr>
          <w:rFonts w:cstheme="minorHAnsi"/>
        </w:rPr>
        <w:t>isplays inflation over 10 years</w:t>
      </w:r>
      <w:r w:rsidRPr="00420809">
        <w:rPr>
          <w:rFonts w:cstheme="minorHAnsi"/>
        </w:rPr>
        <w:t xml:space="preserve"> and India consist</w:t>
      </w:r>
      <w:r>
        <w:rPr>
          <w:rFonts w:cstheme="minorHAnsi"/>
        </w:rPr>
        <w:t>ently has the highest inflation</w:t>
      </w:r>
      <w:r w:rsidRPr="00420809">
        <w:rPr>
          <w:rFonts w:cstheme="minorHAnsi"/>
        </w:rPr>
        <w:t xml:space="preserve"> except for two years when China and the United Kingdom experienced higher inflation. However, the plot also reveals a sudden increase in inflation for Canada in 2021 and 2022, indicating challenges in controlling inflation during those years.</w:t>
      </w:r>
    </w:p>
    <w:p w:rsidR="00857A76" w:rsidRDefault="00857A76">
      <w:r w:rsidRPr="005670EB">
        <w:rPr>
          <w:noProof/>
        </w:rPr>
        <w:lastRenderedPageBreak/>
        <w:drawing>
          <wp:inline distT="0" distB="0" distL="0" distR="0" wp14:anchorId="7FA8AAEF" wp14:editId="04B2956E">
            <wp:extent cx="3002915" cy="1479991"/>
            <wp:effectExtent l="0" t="0" r="6985" b="6350"/>
            <wp:docPr id="10" name="Picture 10" descr="E:\MSC Data Science\First Semester\Applied Data Science\assignments\second assignment\final\plots\urban pop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SC Data Science\First Semester\Applied Data Science\assignments\second assignment\final\plots\urban popul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2915" cy="1479991"/>
                    </a:xfrm>
                    <a:prstGeom prst="rect">
                      <a:avLst/>
                    </a:prstGeom>
                    <a:noFill/>
                    <a:ln>
                      <a:noFill/>
                    </a:ln>
                  </pic:spPr>
                </pic:pic>
              </a:graphicData>
            </a:graphic>
          </wp:inline>
        </w:drawing>
      </w:r>
    </w:p>
    <w:p w:rsidR="00857A76" w:rsidRDefault="00857A76">
      <w:r>
        <w:t xml:space="preserve">                            Figure 5</w:t>
      </w:r>
    </w:p>
    <w:p w:rsidR="00857A76" w:rsidRDefault="00857A76" w:rsidP="00857A76">
      <w:pPr>
        <w:rPr>
          <w:rFonts w:cstheme="minorHAnsi"/>
        </w:rPr>
      </w:pPr>
      <w:r w:rsidRPr="00065120">
        <w:rPr>
          <w:rFonts w:cstheme="minorHAnsi"/>
        </w:rPr>
        <w:t xml:space="preserve">The line plot for urban population highlights </w:t>
      </w:r>
      <w:r>
        <w:rPr>
          <w:rFonts w:cstheme="minorHAnsi"/>
        </w:rPr>
        <w:t>that Canada, the United Kingdom</w:t>
      </w:r>
      <w:r w:rsidRPr="00065120">
        <w:rPr>
          <w:rFonts w:cstheme="minorHAnsi"/>
        </w:rPr>
        <w:t xml:space="preserve"> and the United States have the highest urban populations. Notably, China stands out with a consistent increase in its urban population year after year, showcasing significant urbanization trends.</w:t>
      </w:r>
    </w:p>
    <w:p w:rsidR="00857A76" w:rsidRDefault="00857A76" w:rsidP="00857A76">
      <w:pPr>
        <w:rPr>
          <w:rFonts w:cstheme="minorHAnsi"/>
        </w:rPr>
      </w:pPr>
      <w:r w:rsidRPr="00961D17">
        <w:rPr>
          <w:rFonts w:cstheme="minorHAnsi"/>
        </w:rPr>
        <w:t>Looking at the 10-year trends in inflation and urban population, it appears that India experiences high inflation despite having a relatively low and stagnant urban population. In the case of China, although inflation fluctuates, its urban population consistently grows. This suggests a potential link between lower inflation and increased urban population.</w:t>
      </w:r>
    </w:p>
    <w:p w:rsidR="00857A76" w:rsidRDefault="00857A76">
      <w:r w:rsidRPr="005670EB">
        <w:rPr>
          <w:noProof/>
        </w:rPr>
        <w:drawing>
          <wp:inline distT="0" distB="0" distL="0" distR="0" wp14:anchorId="23D54ABC" wp14:editId="48A0C5AB">
            <wp:extent cx="3002915" cy="2484536"/>
            <wp:effectExtent l="0" t="0" r="6985" b="0"/>
            <wp:docPr id="12" name="Picture 12" descr="E:\MSC Data Science\First Semester\Applied Data Science\assignments\second assignment\final\plots\in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SC Data Science\First Semester\Applied Data Science\assignments\second assignment\final\plots\ind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2915" cy="2484536"/>
                    </a:xfrm>
                    <a:prstGeom prst="rect">
                      <a:avLst/>
                    </a:prstGeom>
                    <a:noFill/>
                    <a:ln>
                      <a:noFill/>
                    </a:ln>
                  </pic:spPr>
                </pic:pic>
              </a:graphicData>
            </a:graphic>
          </wp:inline>
        </w:drawing>
      </w:r>
    </w:p>
    <w:p w:rsidR="00857A76" w:rsidRDefault="00857A76">
      <w:r>
        <w:t xml:space="preserve">                                 Figure 6</w:t>
      </w:r>
    </w:p>
    <w:p w:rsidR="00857A76" w:rsidRPr="0015219E" w:rsidRDefault="00857A76" w:rsidP="00857A76">
      <w:pPr>
        <w:rPr>
          <w:rFonts w:cstheme="minorHAnsi"/>
        </w:rPr>
      </w:pPr>
      <w:r w:rsidRPr="0015219E">
        <w:rPr>
          <w:rFonts w:cstheme="minorHAnsi"/>
        </w:rPr>
        <w:t xml:space="preserve">In this </w:t>
      </w:r>
      <w:r>
        <w:rPr>
          <w:rFonts w:cstheme="minorHAnsi"/>
        </w:rPr>
        <w:t>figure 6</w:t>
      </w:r>
      <w:r w:rsidRPr="0015219E">
        <w:rPr>
          <w:rFonts w:cstheme="minorHAnsi"/>
        </w:rPr>
        <w:t>, GDP growth shows a positive correlation with both trade and fuel imports, indicating a potential connection between economic growth and international trade and fuel consumption. Inflation has a moderate positive correlation with urban population and trade. These correlations suggest that urbanization and increased trade activities might contribute to inflation, while the relationship with fuel imports is less pronounced.</w:t>
      </w:r>
    </w:p>
    <w:p w:rsidR="00857A76" w:rsidRDefault="00857A76"/>
    <w:p w:rsidR="00651DF4" w:rsidRDefault="00651DF4">
      <w:r w:rsidRPr="00651DF4">
        <w:rPr>
          <w:noProof/>
        </w:rPr>
        <w:drawing>
          <wp:inline distT="0" distB="0" distL="0" distR="0">
            <wp:extent cx="3002805" cy="1704975"/>
            <wp:effectExtent l="0" t="0" r="7620" b="0"/>
            <wp:docPr id="1" name="Picture 1" descr="E:\MSC Data Science\First Semester\Applied Data Science\assignments\second assignment\final\plots\ca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SC Data Science\First Semester\Applied Data Science\assignments\second assignment\final\plots\canad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7652" cy="1713405"/>
                    </a:xfrm>
                    <a:prstGeom prst="rect">
                      <a:avLst/>
                    </a:prstGeom>
                    <a:noFill/>
                    <a:ln>
                      <a:noFill/>
                    </a:ln>
                  </pic:spPr>
                </pic:pic>
              </a:graphicData>
            </a:graphic>
          </wp:inline>
        </w:drawing>
      </w:r>
    </w:p>
    <w:p w:rsidR="00651DF4" w:rsidRDefault="00651DF4">
      <w:r>
        <w:t xml:space="preserve">                                        Figure 7</w:t>
      </w:r>
    </w:p>
    <w:p w:rsidR="00E5482F" w:rsidRDefault="00E5482F" w:rsidP="00E5482F">
      <w:pPr>
        <w:rPr>
          <w:rFonts w:cstheme="minorHAnsi"/>
        </w:rPr>
      </w:pPr>
      <w:r>
        <w:rPr>
          <w:rFonts w:cstheme="minorHAnsi"/>
        </w:rPr>
        <w:t>T</w:t>
      </w:r>
      <w:r w:rsidRPr="00754762">
        <w:rPr>
          <w:rFonts w:cstheme="minorHAnsi"/>
        </w:rPr>
        <w:t xml:space="preserve">he correlation </w:t>
      </w:r>
      <w:proofErr w:type="spellStart"/>
      <w:r w:rsidRPr="00754762">
        <w:rPr>
          <w:rFonts w:cstheme="minorHAnsi"/>
        </w:rPr>
        <w:t>heatmap</w:t>
      </w:r>
      <w:proofErr w:type="spellEnd"/>
      <w:r w:rsidRPr="00754762">
        <w:rPr>
          <w:rFonts w:cstheme="minorHAnsi"/>
        </w:rPr>
        <w:t xml:space="preserve"> </w:t>
      </w:r>
      <w:r>
        <w:rPr>
          <w:rFonts w:cstheme="minorHAnsi"/>
        </w:rPr>
        <w:t xml:space="preserve">of </w:t>
      </w:r>
      <w:r w:rsidRPr="00754762">
        <w:rPr>
          <w:rFonts w:cstheme="minorHAnsi"/>
        </w:rPr>
        <w:t>Canada reveals interesting patterns. The trade and GDP growth have a strong positive correlation, conversely, there is a notable negative correlation between trade and fuel imports. Urban population has a slight positive correlation with inflation, but it is not a strong association</w:t>
      </w:r>
      <w:r>
        <w:rPr>
          <w:rFonts w:cstheme="minorHAnsi"/>
        </w:rPr>
        <w:t>.</w:t>
      </w:r>
    </w:p>
    <w:p w:rsidR="000F082B" w:rsidRDefault="000F082B" w:rsidP="000F082B">
      <w:pPr>
        <w:rPr>
          <w:rFonts w:cstheme="minorHAnsi"/>
        </w:rPr>
      </w:pPr>
      <w:r w:rsidRPr="007E7C34">
        <w:rPr>
          <w:rFonts w:cstheme="minorHAnsi"/>
        </w:rPr>
        <w:t>The tables presented below are the outcome of employing various statistical methods to conduct a comparative analysis among countries and</w:t>
      </w:r>
      <w:r>
        <w:rPr>
          <w:rFonts w:cstheme="minorHAnsi"/>
        </w:rPr>
        <w:t xml:space="preserve"> </w:t>
      </w:r>
      <w:r w:rsidRPr="007E7C34">
        <w:rPr>
          <w:rFonts w:cstheme="minorHAnsi"/>
        </w:rPr>
        <w:t xml:space="preserve">indicators. While 1,2,3,4,5,6 represent Urban Population, Rural Population, Inflation, GDP, Growth, Fuel imports, Trade. </w:t>
      </w:r>
    </w:p>
    <w:tbl>
      <w:tblPr>
        <w:tblStyle w:val="TableGrid"/>
        <w:tblW w:w="0" w:type="auto"/>
        <w:tblLook w:val="04A0" w:firstRow="1" w:lastRow="0" w:firstColumn="1" w:lastColumn="0" w:noHBand="0" w:noVBand="1"/>
      </w:tblPr>
      <w:tblGrid>
        <w:gridCol w:w="388"/>
        <w:gridCol w:w="788"/>
        <w:gridCol w:w="638"/>
        <w:gridCol w:w="938"/>
        <w:gridCol w:w="636"/>
        <w:gridCol w:w="644"/>
        <w:gridCol w:w="636"/>
      </w:tblGrid>
      <w:tr w:rsidR="000F082B" w:rsidRPr="003A555B" w:rsidTr="000F082B">
        <w:trPr>
          <w:trHeight w:val="266"/>
        </w:trPr>
        <w:tc>
          <w:tcPr>
            <w:tcW w:w="388" w:type="dxa"/>
          </w:tcPr>
          <w:p w:rsidR="000F082B" w:rsidRPr="000F082B" w:rsidRDefault="000F082B" w:rsidP="007C106B">
            <w:pPr>
              <w:rPr>
                <w:rFonts w:cstheme="minorHAnsi"/>
                <w:sz w:val="18"/>
                <w:szCs w:val="18"/>
              </w:rPr>
            </w:pPr>
          </w:p>
        </w:tc>
        <w:tc>
          <w:tcPr>
            <w:tcW w:w="788" w:type="dxa"/>
          </w:tcPr>
          <w:p w:rsidR="000F082B" w:rsidRPr="000F082B" w:rsidRDefault="000F082B" w:rsidP="007C106B">
            <w:pPr>
              <w:rPr>
                <w:rFonts w:cstheme="minorHAnsi"/>
                <w:sz w:val="18"/>
                <w:szCs w:val="18"/>
              </w:rPr>
            </w:pPr>
            <w:r w:rsidRPr="000F082B">
              <w:rPr>
                <w:rFonts w:cstheme="minorHAnsi"/>
                <w:sz w:val="18"/>
                <w:szCs w:val="18"/>
              </w:rPr>
              <w:t>Canada</w:t>
            </w:r>
          </w:p>
        </w:tc>
        <w:tc>
          <w:tcPr>
            <w:tcW w:w="638" w:type="dxa"/>
          </w:tcPr>
          <w:p w:rsidR="000F082B" w:rsidRPr="000F082B" w:rsidRDefault="000F082B" w:rsidP="007C106B">
            <w:pPr>
              <w:rPr>
                <w:rFonts w:cstheme="minorHAnsi"/>
                <w:sz w:val="18"/>
                <w:szCs w:val="18"/>
              </w:rPr>
            </w:pPr>
            <w:r w:rsidRPr="000F082B">
              <w:rPr>
                <w:rFonts w:cstheme="minorHAnsi"/>
                <w:sz w:val="18"/>
                <w:szCs w:val="18"/>
              </w:rPr>
              <w:t>China</w:t>
            </w:r>
          </w:p>
        </w:tc>
        <w:tc>
          <w:tcPr>
            <w:tcW w:w="938" w:type="dxa"/>
          </w:tcPr>
          <w:p w:rsidR="000F082B" w:rsidRPr="000F082B" w:rsidRDefault="000F082B" w:rsidP="007C106B">
            <w:pPr>
              <w:rPr>
                <w:rFonts w:cstheme="minorHAnsi"/>
                <w:sz w:val="18"/>
                <w:szCs w:val="18"/>
              </w:rPr>
            </w:pPr>
            <w:r w:rsidRPr="000F082B">
              <w:rPr>
                <w:rFonts w:cstheme="minorHAnsi"/>
                <w:sz w:val="18"/>
                <w:szCs w:val="18"/>
              </w:rPr>
              <w:t>Germany</w:t>
            </w:r>
          </w:p>
        </w:tc>
        <w:tc>
          <w:tcPr>
            <w:tcW w:w="636" w:type="dxa"/>
          </w:tcPr>
          <w:p w:rsidR="000F082B" w:rsidRPr="000F082B" w:rsidRDefault="000F082B" w:rsidP="007C106B">
            <w:pPr>
              <w:rPr>
                <w:rFonts w:cstheme="minorHAnsi"/>
                <w:sz w:val="18"/>
                <w:szCs w:val="18"/>
              </w:rPr>
            </w:pPr>
            <w:r w:rsidRPr="000F082B">
              <w:rPr>
                <w:rFonts w:cstheme="minorHAnsi"/>
                <w:sz w:val="18"/>
                <w:szCs w:val="18"/>
              </w:rPr>
              <w:t>UK</w:t>
            </w:r>
          </w:p>
        </w:tc>
        <w:tc>
          <w:tcPr>
            <w:tcW w:w="644" w:type="dxa"/>
          </w:tcPr>
          <w:p w:rsidR="000F082B" w:rsidRPr="000F082B" w:rsidRDefault="000F082B" w:rsidP="007C106B">
            <w:pPr>
              <w:rPr>
                <w:rFonts w:cstheme="minorHAnsi"/>
                <w:sz w:val="18"/>
                <w:szCs w:val="18"/>
              </w:rPr>
            </w:pPr>
            <w:r w:rsidRPr="000F082B">
              <w:rPr>
                <w:rFonts w:cstheme="minorHAnsi"/>
                <w:sz w:val="18"/>
                <w:szCs w:val="18"/>
              </w:rPr>
              <w:t>India</w:t>
            </w:r>
          </w:p>
        </w:tc>
        <w:tc>
          <w:tcPr>
            <w:tcW w:w="636" w:type="dxa"/>
          </w:tcPr>
          <w:p w:rsidR="000F082B" w:rsidRPr="000F082B" w:rsidRDefault="000F082B" w:rsidP="007C106B">
            <w:pPr>
              <w:rPr>
                <w:rFonts w:cstheme="minorHAnsi"/>
                <w:sz w:val="18"/>
                <w:szCs w:val="18"/>
              </w:rPr>
            </w:pPr>
            <w:r w:rsidRPr="000F082B">
              <w:rPr>
                <w:rFonts w:cstheme="minorHAnsi"/>
                <w:sz w:val="18"/>
                <w:szCs w:val="18"/>
              </w:rPr>
              <w:t>USA</w:t>
            </w:r>
          </w:p>
        </w:tc>
      </w:tr>
      <w:tr w:rsidR="000F082B" w:rsidRPr="003A555B" w:rsidTr="000F082B">
        <w:trPr>
          <w:trHeight w:val="252"/>
        </w:trPr>
        <w:tc>
          <w:tcPr>
            <w:tcW w:w="388" w:type="dxa"/>
          </w:tcPr>
          <w:p w:rsidR="000F082B" w:rsidRPr="000F082B" w:rsidRDefault="000F082B" w:rsidP="007C106B">
            <w:pPr>
              <w:rPr>
                <w:rFonts w:cstheme="minorHAnsi"/>
                <w:sz w:val="18"/>
                <w:szCs w:val="18"/>
              </w:rPr>
            </w:pPr>
            <w:r w:rsidRPr="000F082B">
              <w:rPr>
                <w:rFonts w:cstheme="minorHAnsi"/>
                <w:sz w:val="18"/>
                <w:szCs w:val="18"/>
              </w:rPr>
              <w:t>1</w:t>
            </w:r>
          </w:p>
        </w:tc>
        <w:tc>
          <w:tcPr>
            <w:tcW w:w="788" w:type="dxa"/>
          </w:tcPr>
          <w:p w:rsidR="000F082B" w:rsidRPr="000F082B" w:rsidRDefault="000F082B" w:rsidP="007C106B">
            <w:pPr>
              <w:rPr>
                <w:rFonts w:cstheme="minorHAnsi"/>
                <w:sz w:val="18"/>
                <w:szCs w:val="18"/>
              </w:rPr>
            </w:pPr>
            <w:r w:rsidRPr="000F082B">
              <w:rPr>
                <w:rFonts w:cstheme="minorHAnsi"/>
                <w:sz w:val="18"/>
                <w:szCs w:val="18"/>
              </w:rPr>
              <w:t xml:space="preserve">81.39  </w:t>
            </w:r>
          </w:p>
        </w:tc>
        <w:tc>
          <w:tcPr>
            <w:tcW w:w="638" w:type="dxa"/>
          </w:tcPr>
          <w:p w:rsidR="000F082B" w:rsidRPr="000F082B" w:rsidRDefault="000F082B" w:rsidP="007C106B">
            <w:pPr>
              <w:rPr>
                <w:rFonts w:cstheme="minorHAnsi"/>
                <w:sz w:val="18"/>
                <w:szCs w:val="18"/>
              </w:rPr>
            </w:pPr>
            <w:r w:rsidRPr="000F082B">
              <w:rPr>
                <w:rFonts w:cstheme="minorHAnsi"/>
                <w:sz w:val="18"/>
                <w:szCs w:val="18"/>
              </w:rPr>
              <w:t xml:space="preserve">57.84    </w:t>
            </w:r>
          </w:p>
        </w:tc>
        <w:tc>
          <w:tcPr>
            <w:tcW w:w="938" w:type="dxa"/>
          </w:tcPr>
          <w:p w:rsidR="000F082B" w:rsidRPr="000F082B" w:rsidRDefault="000F082B" w:rsidP="007C106B">
            <w:pPr>
              <w:rPr>
                <w:rFonts w:cstheme="minorHAnsi"/>
                <w:sz w:val="18"/>
                <w:szCs w:val="18"/>
              </w:rPr>
            </w:pPr>
            <w:r w:rsidRPr="000F082B">
              <w:rPr>
                <w:rFonts w:cstheme="minorHAnsi"/>
                <w:sz w:val="18"/>
                <w:szCs w:val="18"/>
              </w:rPr>
              <w:t xml:space="preserve">77.32           </w:t>
            </w:r>
          </w:p>
        </w:tc>
        <w:tc>
          <w:tcPr>
            <w:tcW w:w="636" w:type="dxa"/>
          </w:tcPr>
          <w:p w:rsidR="000F082B" w:rsidRPr="000F082B" w:rsidRDefault="000F082B" w:rsidP="007C106B">
            <w:pPr>
              <w:rPr>
                <w:rFonts w:cstheme="minorHAnsi"/>
                <w:sz w:val="18"/>
                <w:szCs w:val="18"/>
              </w:rPr>
            </w:pPr>
            <w:r w:rsidRPr="000F082B">
              <w:rPr>
                <w:rFonts w:cstheme="minorHAnsi"/>
                <w:sz w:val="18"/>
                <w:szCs w:val="18"/>
              </w:rPr>
              <w:t xml:space="preserve">83.13  </w:t>
            </w:r>
          </w:p>
        </w:tc>
        <w:tc>
          <w:tcPr>
            <w:tcW w:w="644" w:type="dxa"/>
          </w:tcPr>
          <w:p w:rsidR="000F082B" w:rsidRPr="000F082B" w:rsidRDefault="000F082B" w:rsidP="007C106B">
            <w:pPr>
              <w:rPr>
                <w:rFonts w:cstheme="minorHAnsi"/>
                <w:sz w:val="18"/>
                <w:szCs w:val="18"/>
              </w:rPr>
            </w:pPr>
            <w:r w:rsidRPr="000F082B">
              <w:rPr>
                <w:rFonts w:cstheme="minorHAnsi"/>
                <w:sz w:val="18"/>
                <w:szCs w:val="18"/>
              </w:rPr>
              <w:t xml:space="preserve">33.66          </w:t>
            </w:r>
          </w:p>
        </w:tc>
        <w:tc>
          <w:tcPr>
            <w:tcW w:w="636" w:type="dxa"/>
          </w:tcPr>
          <w:p w:rsidR="000F082B" w:rsidRPr="000F082B" w:rsidRDefault="000F082B" w:rsidP="007C106B">
            <w:pPr>
              <w:rPr>
                <w:rFonts w:cstheme="minorHAnsi"/>
                <w:sz w:val="18"/>
                <w:szCs w:val="18"/>
              </w:rPr>
            </w:pPr>
            <w:r w:rsidRPr="000F082B">
              <w:rPr>
                <w:rFonts w:cstheme="minorHAnsi"/>
                <w:sz w:val="18"/>
                <w:szCs w:val="18"/>
              </w:rPr>
              <w:t>82.08</w:t>
            </w:r>
          </w:p>
        </w:tc>
      </w:tr>
      <w:tr w:rsidR="000F082B" w:rsidRPr="003A555B" w:rsidTr="000F082B">
        <w:trPr>
          <w:trHeight w:val="266"/>
        </w:trPr>
        <w:tc>
          <w:tcPr>
            <w:tcW w:w="388" w:type="dxa"/>
          </w:tcPr>
          <w:p w:rsidR="000F082B" w:rsidRPr="000F082B" w:rsidRDefault="000F082B" w:rsidP="007C106B">
            <w:pPr>
              <w:rPr>
                <w:rFonts w:cstheme="minorHAnsi"/>
                <w:sz w:val="18"/>
                <w:szCs w:val="18"/>
              </w:rPr>
            </w:pPr>
            <w:r w:rsidRPr="000F082B">
              <w:rPr>
                <w:rFonts w:cstheme="minorHAnsi"/>
                <w:sz w:val="18"/>
                <w:szCs w:val="18"/>
              </w:rPr>
              <w:t>2</w:t>
            </w:r>
          </w:p>
        </w:tc>
        <w:tc>
          <w:tcPr>
            <w:tcW w:w="788" w:type="dxa"/>
          </w:tcPr>
          <w:p w:rsidR="000F082B" w:rsidRPr="000F082B" w:rsidRDefault="000F082B" w:rsidP="007C106B">
            <w:pPr>
              <w:rPr>
                <w:rFonts w:cstheme="minorHAnsi"/>
                <w:sz w:val="18"/>
                <w:szCs w:val="18"/>
              </w:rPr>
            </w:pPr>
            <w:r w:rsidRPr="000F082B">
              <w:rPr>
                <w:rFonts w:cstheme="minorHAnsi"/>
                <w:sz w:val="18"/>
                <w:szCs w:val="18"/>
              </w:rPr>
              <w:t xml:space="preserve">18.61  </w:t>
            </w:r>
          </w:p>
        </w:tc>
        <w:tc>
          <w:tcPr>
            <w:tcW w:w="638" w:type="dxa"/>
          </w:tcPr>
          <w:p w:rsidR="000F082B" w:rsidRPr="000F082B" w:rsidRDefault="000F082B" w:rsidP="007C106B">
            <w:pPr>
              <w:rPr>
                <w:rFonts w:cstheme="minorHAnsi"/>
                <w:sz w:val="18"/>
                <w:szCs w:val="18"/>
              </w:rPr>
            </w:pPr>
            <w:r w:rsidRPr="000F082B">
              <w:rPr>
                <w:rFonts w:cstheme="minorHAnsi"/>
                <w:sz w:val="18"/>
                <w:szCs w:val="18"/>
              </w:rPr>
              <w:t xml:space="preserve">42.16    </w:t>
            </w:r>
          </w:p>
        </w:tc>
        <w:tc>
          <w:tcPr>
            <w:tcW w:w="938" w:type="dxa"/>
          </w:tcPr>
          <w:p w:rsidR="000F082B" w:rsidRPr="000F082B" w:rsidRDefault="000F082B" w:rsidP="007C106B">
            <w:pPr>
              <w:rPr>
                <w:rFonts w:cstheme="minorHAnsi"/>
                <w:sz w:val="18"/>
                <w:szCs w:val="18"/>
              </w:rPr>
            </w:pPr>
            <w:r w:rsidRPr="000F082B">
              <w:rPr>
                <w:rFonts w:cstheme="minorHAnsi"/>
                <w:sz w:val="18"/>
                <w:szCs w:val="18"/>
              </w:rPr>
              <w:t xml:space="preserve">22.68           </w:t>
            </w:r>
          </w:p>
        </w:tc>
        <w:tc>
          <w:tcPr>
            <w:tcW w:w="636" w:type="dxa"/>
          </w:tcPr>
          <w:p w:rsidR="000F082B" w:rsidRPr="000F082B" w:rsidRDefault="000F082B" w:rsidP="007C106B">
            <w:pPr>
              <w:rPr>
                <w:rFonts w:cstheme="minorHAnsi"/>
                <w:sz w:val="18"/>
                <w:szCs w:val="18"/>
              </w:rPr>
            </w:pPr>
            <w:r w:rsidRPr="000F082B">
              <w:rPr>
                <w:rFonts w:cstheme="minorHAnsi"/>
                <w:sz w:val="18"/>
                <w:szCs w:val="18"/>
              </w:rPr>
              <w:t xml:space="preserve">16.87  </w:t>
            </w:r>
          </w:p>
        </w:tc>
        <w:tc>
          <w:tcPr>
            <w:tcW w:w="644" w:type="dxa"/>
          </w:tcPr>
          <w:p w:rsidR="000F082B" w:rsidRPr="000F082B" w:rsidRDefault="000F082B" w:rsidP="007C106B">
            <w:pPr>
              <w:rPr>
                <w:rFonts w:cstheme="minorHAnsi"/>
                <w:sz w:val="18"/>
                <w:szCs w:val="18"/>
              </w:rPr>
            </w:pPr>
            <w:r w:rsidRPr="000F082B">
              <w:rPr>
                <w:rFonts w:cstheme="minorHAnsi"/>
                <w:sz w:val="18"/>
                <w:szCs w:val="18"/>
              </w:rPr>
              <w:t xml:space="preserve">66.34          </w:t>
            </w:r>
          </w:p>
        </w:tc>
        <w:tc>
          <w:tcPr>
            <w:tcW w:w="636" w:type="dxa"/>
          </w:tcPr>
          <w:p w:rsidR="000F082B" w:rsidRPr="000F082B" w:rsidRDefault="000F082B" w:rsidP="007C106B">
            <w:pPr>
              <w:rPr>
                <w:rFonts w:cstheme="minorHAnsi"/>
                <w:sz w:val="18"/>
                <w:szCs w:val="18"/>
              </w:rPr>
            </w:pPr>
            <w:r w:rsidRPr="000F082B">
              <w:rPr>
                <w:rFonts w:cstheme="minorHAnsi"/>
                <w:sz w:val="18"/>
                <w:szCs w:val="18"/>
              </w:rPr>
              <w:t>17.92</w:t>
            </w:r>
          </w:p>
        </w:tc>
      </w:tr>
      <w:tr w:rsidR="000F082B" w:rsidRPr="003A555B" w:rsidTr="000F082B">
        <w:trPr>
          <w:trHeight w:val="252"/>
        </w:trPr>
        <w:tc>
          <w:tcPr>
            <w:tcW w:w="388" w:type="dxa"/>
          </w:tcPr>
          <w:p w:rsidR="000F082B" w:rsidRPr="000F082B" w:rsidRDefault="000F082B" w:rsidP="007C106B">
            <w:pPr>
              <w:rPr>
                <w:rFonts w:cstheme="minorHAnsi"/>
                <w:sz w:val="18"/>
                <w:szCs w:val="18"/>
              </w:rPr>
            </w:pPr>
            <w:r w:rsidRPr="000F082B">
              <w:rPr>
                <w:rFonts w:cstheme="minorHAnsi"/>
                <w:sz w:val="18"/>
                <w:szCs w:val="18"/>
              </w:rPr>
              <w:t>3</w:t>
            </w:r>
          </w:p>
        </w:tc>
        <w:tc>
          <w:tcPr>
            <w:tcW w:w="788" w:type="dxa"/>
          </w:tcPr>
          <w:p w:rsidR="000F082B" w:rsidRPr="000F082B" w:rsidRDefault="000F082B" w:rsidP="007C106B">
            <w:pPr>
              <w:rPr>
                <w:rFonts w:cstheme="minorHAnsi"/>
                <w:sz w:val="18"/>
                <w:szCs w:val="18"/>
              </w:rPr>
            </w:pPr>
            <w:r w:rsidRPr="000F082B">
              <w:rPr>
                <w:rFonts w:cstheme="minorHAnsi"/>
                <w:sz w:val="18"/>
                <w:szCs w:val="18"/>
              </w:rPr>
              <w:t xml:space="preserve">2.42   </w:t>
            </w:r>
          </w:p>
        </w:tc>
        <w:tc>
          <w:tcPr>
            <w:tcW w:w="638" w:type="dxa"/>
          </w:tcPr>
          <w:p w:rsidR="000F082B" w:rsidRPr="000F082B" w:rsidRDefault="000F082B" w:rsidP="007C106B">
            <w:pPr>
              <w:rPr>
                <w:rFonts w:cstheme="minorHAnsi"/>
                <w:sz w:val="18"/>
                <w:szCs w:val="18"/>
              </w:rPr>
            </w:pPr>
            <w:r w:rsidRPr="000F082B">
              <w:rPr>
                <w:rFonts w:cstheme="minorHAnsi"/>
                <w:sz w:val="18"/>
                <w:szCs w:val="18"/>
              </w:rPr>
              <w:t xml:space="preserve">2.11     </w:t>
            </w:r>
          </w:p>
        </w:tc>
        <w:tc>
          <w:tcPr>
            <w:tcW w:w="938" w:type="dxa"/>
          </w:tcPr>
          <w:p w:rsidR="000F082B" w:rsidRPr="000F082B" w:rsidRDefault="000F082B" w:rsidP="007C106B">
            <w:pPr>
              <w:rPr>
                <w:rFonts w:cstheme="minorHAnsi"/>
                <w:sz w:val="18"/>
                <w:szCs w:val="18"/>
              </w:rPr>
            </w:pPr>
            <w:r w:rsidRPr="000F082B">
              <w:rPr>
                <w:rFonts w:cstheme="minorHAnsi"/>
                <w:sz w:val="18"/>
                <w:szCs w:val="18"/>
              </w:rPr>
              <w:t xml:space="preserve">2.23            </w:t>
            </w:r>
          </w:p>
        </w:tc>
        <w:tc>
          <w:tcPr>
            <w:tcW w:w="636" w:type="dxa"/>
          </w:tcPr>
          <w:p w:rsidR="000F082B" w:rsidRPr="000F082B" w:rsidRDefault="000F082B" w:rsidP="007C106B">
            <w:pPr>
              <w:rPr>
                <w:rFonts w:cstheme="minorHAnsi"/>
                <w:sz w:val="18"/>
                <w:szCs w:val="18"/>
              </w:rPr>
            </w:pPr>
            <w:r w:rsidRPr="000F082B">
              <w:rPr>
                <w:rFonts w:cstheme="minorHAnsi"/>
                <w:sz w:val="18"/>
                <w:szCs w:val="18"/>
              </w:rPr>
              <w:t xml:space="preserve">2.23   </w:t>
            </w:r>
          </w:p>
        </w:tc>
        <w:tc>
          <w:tcPr>
            <w:tcW w:w="644" w:type="dxa"/>
          </w:tcPr>
          <w:p w:rsidR="000F082B" w:rsidRPr="000F082B" w:rsidRDefault="000F082B" w:rsidP="007C106B">
            <w:pPr>
              <w:rPr>
                <w:rFonts w:cstheme="minorHAnsi"/>
                <w:sz w:val="18"/>
                <w:szCs w:val="18"/>
              </w:rPr>
            </w:pPr>
            <w:r w:rsidRPr="000F082B">
              <w:rPr>
                <w:rFonts w:cstheme="minorHAnsi"/>
                <w:sz w:val="18"/>
                <w:szCs w:val="18"/>
              </w:rPr>
              <w:t xml:space="preserve">4.98           </w:t>
            </w:r>
          </w:p>
        </w:tc>
        <w:tc>
          <w:tcPr>
            <w:tcW w:w="636" w:type="dxa"/>
          </w:tcPr>
          <w:p w:rsidR="000F082B" w:rsidRPr="000F082B" w:rsidRDefault="000F082B" w:rsidP="007C106B">
            <w:pPr>
              <w:rPr>
                <w:rFonts w:cstheme="minorHAnsi"/>
                <w:sz w:val="18"/>
                <w:szCs w:val="18"/>
              </w:rPr>
            </w:pPr>
            <w:r w:rsidRPr="000F082B">
              <w:rPr>
                <w:rFonts w:cstheme="minorHAnsi"/>
                <w:sz w:val="18"/>
                <w:szCs w:val="18"/>
              </w:rPr>
              <w:t>2.40</w:t>
            </w:r>
          </w:p>
        </w:tc>
      </w:tr>
      <w:tr w:rsidR="000F082B" w:rsidRPr="003A555B" w:rsidTr="000F082B">
        <w:trPr>
          <w:trHeight w:val="266"/>
        </w:trPr>
        <w:tc>
          <w:tcPr>
            <w:tcW w:w="388" w:type="dxa"/>
          </w:tcPr>
          <w:p w:rsidR="000F082B" w:rsidRPr="000F082B" w:rsidRDefault="000F082B" w:rsidP="007C106B">
            <w:pPr>
              <w:rPr>
                <w:rFonts w:cstheme="minorHAnsi"/>
                <w:sz w:val="18"/>
                <w:szCs w:val="18"/>
              </w:rPr>
            </w:pPr>
            <w:r w:rsidRPr="000F082B">
              <w:rPr>
                <w:rFonts w:cstheme="minorHAnsi"/>
                <w:sz w:val="18"/>
                <w:szCs w:val="18"/>
              </w:rPr>
              <w:t>4</w:t>
            </w:r>
          </w:p>
        </w:tc>
        <w:tc>
          <w:tcPr>
            <w:tcW w:w="788" w:type="dxa"/>
          </w:tcPr>
          <w:p w:rsidR="000F082B" w:rsidRPr="000F082B" w:rsidRDefault="000F082B" w:rsidP="007C106B">
            <w:pPr>
              <w:rPr>
                <w:rFonts w:cstheme="minorHAnsi"/>
                <w:sz w:val="18"/>
                <w:szCs w:val="18"/>
              </w:rPr>
            </w:pPr>
            <w:r w:rsidRPr="000F082B">
              <w:rPr>
                <w:rFonts w:cstheme="minorHAnsi"/>
                <w:sz w:val="18"/>
                <w:szCs w:val="18"/>
              </w:rPr>
              <w:t xml:space="preserve">1.79   </w:t>
            </w:r>
          </w:p>
        </w:tc>
        <w:tc>
          <w:tcPr>
            <w:tcW w:w="638" w:type="dxa"/>
          </w:tcPr>
          <w:p w:rsidR="000F082B" w:rsidRPr="000F082B" w:rsidRDefault="000F082B" w:rsidP="007C106B">
            <w:pPr>
              <w:rPr>
                <w:rFonts w:cstheme="minorHAnsi"/>
                <w:sz w:val="18"/>
                <w:szCs w:val="18"/>
              </w:rPr>
            </w:pPr>
            <w:r w:rsidRPr="000F082B">
              <w:rPr>
                <w:rFonts w:cstheme="minorHAnsi"/>
                <w:sz w:val="18"/>
                <w:szCs w:val="18"/>
              </w:rPr>
              <w:t xml:space="preserve">6.39     </w:t>
            </w:r>
          </w:p>
        </w:tc>
        <w:tc>
          <w:tcPr>
            <w:tcW w:w="938" w:type="dxa"/>
          </w:tcPr>
          <w:p w:rsidR="000F082B" w:rsidRPr="000F082B" w:rsidRDefault="000F082B" w:rsidP="007C106B">
            <w:pPr>
              <w:rPr>
                <w:rFonts w:cstheme="minorHAnsi"/>
                <w:sz w:val="18"/>
                <w:szCs w:val="18"/>
              </w:rPr>
            </w:pPr>
            <w:r w:rsidRPr="000F082B">
              <w:rPr>
                <w:rFonts w:cstheme="minorHAnsi"/>
                <w:sz w:val="18"/>
                <w:szCs w:val="18"/>
              </w:rPr>
              <w:t xml:space="preserve">1.11            </w:t>
            </w:r>
          </w:p>
        </w:tc>
        <w:tc>
          <w:tcPr>
            <w:tcW w:w="636" w:type="dxa"/>
          </w:tcPr>
          <w:p w:rsidR="000F082B" w:rsidRPr="000F082B" w:rsidRDefault="000F082B" w:rsidP="007C106B">
            <w:pPr>
              <w:rPr>
                <w:rFonts w:cstheme="minorHAnsi"/>
                <w:sz w:val="18"/>
                <w:szCs w:val="18"/>
              </w:rPr>
            </w:pPr>
            <w:r w:rsidRPr="000F082B">
              <w:rPr>
                <w:rFonts w:cstheme="minorHAnsi"/>
                <w:sz w:val="18"/>
                <w:szCs w:val="18"/>
              </w:rPr>
              <w:t xml:space="preserve">1.59   </w:t>
            </w:r>
          </w:p>
        </w:tc>
        <w:tc>
          <w:tcPr>
            <w:tcW w:w="644" w:type="dxa"/>
          </w:tcPr>
          <w:p w:rsidR="000F082B" w:rsidRPr="000F082B" w:rsidRDefault="000F082B" w:rsidP="007C106B">
            <w:pPr>
              <w:rPr>
                <w:rFonts w:cstheme="minorHAnsi"/>
                <w:sz w:val="18"/>
                <w:szCs w:val="18"/>
              </w:rPr>
            </w:pPr>
            <w:r w:rsidRPr="000F082B">
              <w:rPr>
                <w:rFonts w:cstheme="minorHAnsi"/>
                <w:sz w:val="18"/>
                <w:szCs w:val="18"/>
              </w:rPr>
              <w:t xml:space="preserve">5.71           </w:t>
            </w:r>
          </w:p>
        </w:tc>
        <w:tc>
          <w:tcPr>
            <w:tcW w:w="636" w:type="dxa"/>
          </w:tcPr>
          <w:p w:rsidR="000F082B" w:rsidRPr="000F082B" w:rsidRDefault="000F082B" w:rsidP="007C106B">
            <w:pPr>
              <w:rPr>
                <w:rFonts w:cstheme="minorHAnsi"/>
                <w:sz w:val="18"/>
                <w:szCs w:val="18"/>
              </w:rPr>
            </w:pPr>
            <w:r w:rsidRPr="000F082B">
              <w:rPr>
                <w:rFonts w:cstheme="minorHAnsi"/>
                <w:sz w:val="18"/>
                <w:szCs w:val="18"/>
              </w:rPr>
              <w:t>2.14</w:t>
            </w:r>
          </w:p>
        </w:tc>
      </w:tr>
      <w:tr w:rsidR="000F082B" w:rsidRPr="003A555B" w:rsidTr="000F082B">
        <w:trPr>
          <w:trHeight w:val="252"/>
        </w:trPr>
        <w:tc>
          <w:tcPr>
            <w:tcW w:w="388" w:type="dxa"/>
          </w:tcPr>
          <w:p w:rsidR="000F082B" w:rsidRPr="000F082B" w:rsidRDefault="000F082B" w:rsidP="007C106B">
            <w:pPr>
              <w:rPr>
                <w:rFonts w:cstheme="minorHAnsi"/>
                <w:sz w:val="18"/>
                <w:szCs w:val="18"/>
              </w:rPr>
            </w:pPr>
            <w:r w:rsidRPr="000F082B">
              <w:rPr>
                <w:rFonts w:cstheme="minorHAnsi"/>
                <w:sz w:val="18"/>
                <w:szCs w:val="18"/>
              </w:rPr>
              <w:t>5</w:t>
            </w:r>
          </w:p>
        </w:tc>
        <w:tc>
          <w:tcPr>
            <w:tcW w:w="788" w:type="dxa"/>
          </w:tcPr>
          <w:p w:rsidR="000F082B" w:rsidRPr="000F082B" w:rsidRDefault="000F082B" w:rsidP="007C106B">
            <w:pPr>
              <w:rPr>
                <w:rFonts w:cstheme="minorHAnsi"/>
                <w:sz w:val="18"/>
                <w:szCs w:val="18"/>
              </w:rPr>
            </w:pPr>
            <w:r w:rsidRPr="000F082B">
              <w:rPr>
                <w:rFonts w:cstheme="minorHAnsi"/>
                <w:sz w:val="18"/>
                <w:szCs w:val="18"/>
              </w:rPr>
              <w:t xml:space="preserve">7.92  </w:t>
            </w:r>
          </w:p>
        </w:tc>
        <w:tc>
          <w:tcPr>
            <w:tcW w:w="638" w:type="dxa"/>
          </w:tcPr>
          <w:p w:rsidR="000F082B" w:rsidRPr="000F082B" w:rsidRDefault="000F082B" w:rsidP="007C106B">
            <w:pPr>
              <w:rPr>
                <w:rFonts w:cstheme="minorHAnsi"/>
                <w:sz w:val="18"/>
                <w:szCs w:val="18"/>
              </w:rPr>
            </w:pPr>
            <w:r w:rsidRPr="000F082B">
              <w:rPr>
                <w:rFonts w:cstheme="minorHAnsi"/>
                <w:sz w:val="18"/>
                <w:szCs w:val="18"/>
              </w:rPr>
              <w:t xml:space="preserve">16.30    </w:t>
            </w:r>
          </w:p>
        </w:tc>
        <w:tc>
          <w:tcPr>
            <w:tcW w:w="938" w:type="dxa"/>
          </w:tcPr>
          <w:p w:rsidR="000F082B" w:rsidRPr="000F082B" w:rsidRDefault="000F082B" w:rsidP="007C106B">
            <w:pPr>
              <w:rPr>
                <w:rFonts w:cstheme="minorHAnsi"/>
                <w:sz w:val="18"/>
                <w:szCs w:val="18"/>
              </w:rPr>
            </w:pPr>
            <w:r w:rsidRPr="000F082B">
              <w:rPr>
                <w:rFonts w:cstheme="minorHAnsi"/>
                <w:sz w:val="18"/>
                <w:szCs w:val="18"/>
              </w:rPr>
              <w:t xml:space="preserve">10.01           </w:t>
            </w:r>
          </w:p>
        </w:tc>
        <w:tc>
          <w:tcPr>
            <w:tcW w:w="636" w:type="dxa"/>
          </w:tcPr>
          <w:p w:rsidR="000F082B" w:rsidRPr="000F082B" w:rsidRDefault="000F082B" w:rsidP="007C106B">
            <w:pPr>
              <w:rPr>
                <w:rFonts w:cstheme="minorHAnsi"/>
                <w:sz w:val="18"/>
                <w:szCs w:val="18"/>
              </w:rPr>
            </w:pPr>
            <w:r w:rsidRPr="000F082B">
              <w:rPr>
                <w:rFonts w:cstheme="minorHAnsi"/>
                <w:sz w:val="18"/>
                <w:szCs w:val="18"/>
              </w:rPr>
              <w:t xml:space="preserve">10.23  </w:t>
            </w:r>
          </w:p>
        </w:tc>
        <w:tc>
          <w:tcPr>
            <w:tcW w:w="644" w:type="dxa"/>
          </w:tcPr>
          <w:p w:rsidR="000F082B" w:rsidRPr="000F082B" w:rsidRDefault="000F082B" w:rsidP="007C106B">
            <w:pPr>
              <w:rPr>
                <w:rFonts w:cstheme="minorHAnsi"/>
                <w:sz w:val="18"/>
                <w:szCs w:val="18"/>
              </w:rPr>
            </w:pPr>
            <w:r w:rsidRPr="000F082B">
              <w:rPr>
                <w:rFonts w:cstheme="minorHAnsi"/>
                <w:sz w:val="18"/>
                <w:szCs w:val="18"/>
              </w:rPr>
              <w:t xml:space="preserve">32.43          </w:t>
            </w:r>
          </w:p>
        </w:tc>
        <w:tc>
          <w:tcPr>
            <w:tcW w:w="636" w:type="dxa"/>
          </w:tcPr>
          <w:p w:rsidR="000F082B" w:rsidRPr="000F082B" w:rsidRDefault="000F082B" w:rsidP="007C106B">
            <w:pPr>
              <w:rPr>
                <w:rFonts w:cstheme="minorHAnsi"/>
                <w:sz w:val="18"/>
                <w:szCs w:val="18"/>
              </w:rPr>
            </w:pPr>
            <w:r w:rsidRPr="000F082B">
              <w:rPr>
                <w:rFonts w:cstheme="minorHAnsi"/>
                <w:sz w:val="18"/>
                <w:szCs w:val="18"/>
              </w:rPr>
              <w:t>10.42</w:t>
            </w:r>
          </w:p>
        </w:tc>
      </w:tr>
      <w:tr w:rsidR="000F082B" w:rsidRPr="003A555B" w:rsidTr="000F082B">
        <w:trPr>
          <w:trHeight w:val="266"/>
        </w:trPr>
        <w:tc>
          <w:tcPr>
            <w:tcW w:w="388" w:type="dxa"/>
          </w:tcPr>
          <w:p w:rsidR="000F082B" w:rsidRPr="000F082B" w:rsidRDefault="000F082B" w:rsidP="007C106B">
            <w:pPr>
              <w:rPr>
                <w:rFonts w:cstheme="minorHAnsi"/>
                <w:sz w:val="18"/>
                <w:szCs w:val="18"/>
              </w:rPr>
            </w:pPr>
            <w:r w:rsidRPr="000F082B">
              <w:rPr>
                <w:rFonts w:cstheme="minorHAnsi"/>
                <w:sz w:val="18"/>
                <w:szCs w:val="18"/>
              </w:rPr>
              <w:t>6</w:t>
            </w:r>
          </w:p>
        </w:tc>
        <w:tc>
          <w:tcPr>
            <w:tcW w:w="788" w:type="dxa"/>
          </w:tcPr>
          <w:p w:rsidR="000F082B" w:rsidRPr="000F082B" w:rsidRDefault="000F082B" w:rsidP="007C106B">
            <w:pPr>
              <w:rPr>
                <w:rFonts w:cstheme="minorHAnsi"/>
                <w:sz w:val="18"/>
                <w:szCs w:val="18"/>
              </w:rPr>
            </w:pPr>
            <w:r w:rsidRPr="000F082B">
              <w:rPr>
                <w:rFonts w:cstheme="minorHAnsi"/>
                <w:sz w:val="18"/>
                <w:szCs w:val="18"/>
              </w:rPr>
              <w:t xml:space="preserve">64.49  </w:t>
            </w:r>
          </w:p>
        </w:tc>
        <w:tc>
          <w:tcPr>
            <w:tcW w:w="638" w:type="dxa"/>
          </w:tcPr>
          <w:p w:rsidR="000F082B" w:rsidRPr="000F082B" w:rsidRDefault="000F082B" w:rsidP="007C106B">
            <w:pPr>
              <w:rPr>
                <w:rFonts w:cstheme="minorHAnsi"/>
                <w:sz w:val="18"/>
                <w:szCs w:val="18"/>
              </w:rPr>
            </w:pPr>
            <w:r w:rsidRPr="000F082B">
              <w:rPr>
                <w:rFonts w:cstheme="minorHAnsi"/>
                <w:sz w:val="18"/>
                <w:szCs w:val="18"/>
              </w:rPr>
              <w:t xml:space="preserve">39.78    </w:t>
            </w:r>
          </w:p>
        </w:tc>
        <w:tc>
          <w:tcPr>
            <w:tcW w:w="938" w:type="dxa"/>
          </w:tcPr>
          <w:p w:rsidR="000F082B" w:rsidRPr="000F082B" w:rsidRDefault="000F082B" w:rsidP="007C106B">
            <w:pPr>
              <w:rPr>
                <w:rFonts w:cstheme="minorHAnsi"/>
                <w:sz w:val="18"/>
                <w:szCs w:val="18"/>
              </w:rPr>
            </w:pPr>
            <w:r w:rsidRPr="000F082B">
              <w:rPr>
                <w:rFonts w:cstheme="minorHAnsi"/>
                <w:sz w:val="18"/>
                <w:szCs w:val="18"/>
              </w:rPr>
              <w:t xml:space="preserve">87.13           </w:t>
            </w:r>
          </w:p>
        </w:tc>
        <w:tc>
          <w:tcPr>
            <w:tcW w:w="636" w:type="dxa"/>
          </w:tcPr>
          <w:p w:rsidR="000F082B" w:rsidRPr="000F082B" w:rsidRDefault="000F082B" w:rsidP="007C106B">
            <w:pPr>
              <w:rPr>
                <w:rFonts w:cstheme="minorHAnsi"/>
                <w:sz w:val="18"/>
                <w:szCs w:val="18"/>
              </w:rPr>
            </w:pPr>
            <w:r w:rsidRPr="000F082B">
              <w:rPr>
                <w:rFonts w:cstheme="minorHAnsi"/>
                <w:sz w:val="18"/>
                <w:szCs w:val="18"/>
              </w:rPr>
              <w:t xml:space="preserve">61.40  </w:t>
            </w:r>
          </w:p>
        </w:tc>
        <w:tc>
          <w:tcPr>
            <w:tcW w:w="644" w:type="dxa"/>
          </w:tcPr>
          <w:p w:rsidR="000F082B" w:rsidRPr="000F082B" w:rsidRDefault="000F082B" w:rsidP="007C106B">
            <w:pPr>
              <w:rPr>
                <w:rFonts w:cstheme="minorHAnsi"/>
                <w:sz w:val="18"/>
                <w:szCs w:val="18"/>
              </w:rPr>
            </w:pPr>
            <w:r w:rsidRPr="000F082B">
              <w:rPr>
                <w:rFonts w:cstheme="minorHAnsi"/>
                <w:sz w:val="18"/>
                <w:szCs w:val="18"/>
              </w:rPr>
              <w:t xml:space="preserve">45.24          </w:t>
            </w:r>
          </w:p>
        </w:tc>
        <w:tc>
          <w:tcPr>
            <w:tcW w:w="636" w:type="dxa"/>
          </w:tcPr>
          <w:p w:rsidR="000F082B" w:rsidRPr="000F082B" w:rsidRDefault="000F082B" w:rsidP="007C106B">
            <w:pPr>
              <w:rPr>
                <w:rFonts w:cstheme="minorHAnsi"/>
                <w:sz w:val="18"/>
                <w:szCs w:val="18"/>
              </w:rPr>
            </w:pPr>
            <w:r w:rsidRPr="000F082B">
              <w:rPr>
                <w:rFonts w:cstheme="minorHAnsi"/>
                <w:sz w:val="18"/>
                <w:szCs w:val="18"/>
              </w:rPr>
              <w:t>27.53</w:t>
            </w:r>
          </w:p>
        </w:tc>
      </w:tr>
    </w:tbl>
    <w:p w:rsidR="000F082B" w:rsidRDefault="000F082B" w:rsidP="00E5482F">
      <w:pPr>
        <w:rPr>
          <w:rFonts w:cstheme="minorHAnsi"/>
        </w:rPr>
      </w:pPr>
    </w:p>
    <w:p w:rsidR="000F082B" w:rsidRDefault="000F082B" w:rsidP="00E5482F">
      <w:pPr>
        <w:rPr>
          <w:rFonts w:cstheme="minorHAnsi"/>
        </w:rPr>
      </w:pPr>
      <w:r w:rsidRPr="007E7C34">
        <w:rPr>
          <w:rFonts w:cstheme="minorHAnsi"/>
        </w:rPr>
        <w:t>The table mentioned above displays the mean values of indicators over a span of 10 years. It indicates that the United Kingdom has the highest urban population, while India exhibits the highest inflation rate.</w:t>
      </w:r>
    </w:p>
    <w:tbl>
      <w:tblPr>
        <w:tblStyle w:val="TableGrid"/>
        <w:tblW w:w="0" w:type="auto"/>
        <w:tblLayout w:type="fixed"/>
        <w:tblLook w:val="04A0" w:firstRow="1" w:lastRow="0" w:firstColumn="1" w:lastColumn="0" w:noHBand="0" w:noVBand="1"/>
      </w:tblPr>
      <w:tblGrid>
        <w:gridCol w:w="895"/>
        <w:gridCol w:w="900"/>
        <w:gridCol w:w="900"/>
        <w:gridCol w:w="540"/>
        <w:gridCol w:w="540"/>
        <w:gridCol w:w="720"/>
        <w:gridCol w:w="630"/>
      </w:tblGrid>
      <w:tr w:rsidR="00476018" w:rsidRPr="005A4DC2" w:rsidTr="007C106B">
        <w:tc>
          <w:tcPr>
            <w:tcW w:w="895" w:type="dxa"/>
          </w:tcPr>
          <w:p w:rsidR="00476018" w:rsidRPr="005A4DC2" w:rsidRDefault="00476018" w:rsidP="007C106B">
            <w:pPr>
              <w:rPr>
                <w:sz w:val="16"/>
                <w:szCs w:val="16"/>
              </w:rPr>
            </w:pPr>
          </w:p>
        </w:tc>
        <w:tc>
          <w:tcPr>
            <w:tcW w:w="900" w:type="dxa"/>
          </w:tcPr>
          <w:p w:rsidR="00476018" w:rsidRPr="005A4DC2" w:rsidRDefault="00476018" w:rsidP="007C106B">
            <w:pPr>
              <w:rPr>
                <w:sz w:val="16"/>
                <w:szCs w:val="16"/>
              </w:rPr>
            </w:pPr>
            <w:r w:rsidRPr="005A4DC2">
              <w:rPr>
                <w:sz w:val="16"/>
                <w:szCs w:val="16"/>
              </w:rPr>
              <w:t>1</w:t>
            </w:r>
          </w:p>
        </w:tc>
        <w:tc>
          <w:tcPr>
            <w:tcW w:w="900" w:type="dxa"/>
          </w:tcPr>
          <w:p w:rsidR="00476018" w:rsidRPr="005A4DC2" w:rsidRDefault="00476018" w:rsidP="007C106B">
            <w:pPr>
              <w:rPr>
                <w:sz w:val="16"/>
                <w:szCs w:val="16"/>
              </w:rPr>
            </w:pPr>
            <w:r w:rsidRPr="005A4DC2">
              <w:rPr>
                <w:sz w:val="16"/>
                <w:szCs w:val="16"/>
              </w:rPr>
              <w:t>2</w:t>
            </w:r>
          </w:p>
        </w:tc>
        <w:tc>
          <w:tcPr>
            <w:tcW w:w="540" w:type="dxa"/>
          </w:tcPr>
          <w:p w:rsidR="00476018" w:rsidRPr="005A4DC2" w:rsidRDefault="00476018" w:rsidP="007C106B">
            <w:pPr>
              <w:rPr>
                <w:sz w:val="16"/>
                <w:szCs w:val="16"/>
              </w:rPr>
            </w:pPr>
            <w:r w:rsidRPr="005A4DC2">
              <w:rPr>
                <w:sz w:val="16"/>
                <w:szCs w:val="16"/>
              </w:rPr>
              <w:t>3</w:t>
            </w:r>
          </w:p>
        </w:tc>
        <w:tc>
          <w:tcPr>
            <w:tcW w:w="540" w:type="dxa"/>
          </w:tcPr>
          <w:p w:rsidR="00476018" w:rsidRPr="005A4DC2" w:rsidRDefault="00476018" w:rsidP="007C106B">
            <w:pPr>
              <w:rPr>
                <w:sz w:val="16"/>
                <w:szCs w:val="16"/>
              </w:rPr>
            </w:pPr>
            <w:r w:rsidRPr="005A4DC2">
              <w:rPr>
                <w:sz w:val="16"/>
                <w:szCs w:val="16"/>
              </w:rPr>
              <w:t>4</w:t>
            </w:r>
          </w:p>
        </w:tc>
        <w:tc>
          <w:tcPr>
            <w:tcW w:w="720" w:type="dxa"/>
          </w:tcPr>
          <w:p w:rsidR="00476018" w:rsidRPr="005A4DC2" w:rsidRDefault="00476018" w:rsidP="007C106B">
            <w:pPr>
              <w:rPr>
                <w:sz w:val="16"/>
                <w:szCs w:val="16"/>
              </w:rPr>
            </w:pPr>
            <w:r w:rsidRPr="005A4DC2">
              <w:rPr>
                <w:sz w:val="16"/>
                <w:szCs w:val="16"/>
              </w:rPr>
              <w:t>5</w:t>
            </w:r>
          </w:p>
        </w:tc>
        <w:tc>
          <w:tcPr>
            <w:tcW w:w="630" w:type="dxa"/>
          </w:tcPr>
          <w:p w:rsidR="00476018" w:rsidRPr="005A4DC2" w:rsidRDefault="00476018" w:rsidP="007C106B">
            <w:pPr>
              <w:rPr>
                <w:sz w:val="16"/>
                <w:szCs w:val="16"/>
              </w:rPr>
            </w:pPr>
            <w:r w:rsidRPr="005A4DC2">
              <w:rPr>
                <w:sz w:val="16"/>
                <w:szCs w:val="16"/>
              </w:rPr>
              <w:t>6</w:t>
            </w:r>
          </w:p>
        </w:tc>
      </w:tr>
      <w:tr w:rsidR="00476018" w:rsidRPr="005A4DC2" w:rsidTr="007C106B">
        <w:tc>
          <w:tcPr>
            <w:tcW w:w="895" w:type="dxa"/>
          </w:tcPr>
          <w:p w:rsidR="00476018" w:rsidRPr="005A4DC2" w:rsidRDefault="00476018" w:rsidP="007C106B">
            <w:pPr>
              <w:rPr>
                <w:sz w:val="16"/>
                <w:szCs w:val="16"/>
              </w:rPr>
            </w:pPr>
            <w:r w:rsidRPr="005A4DC2">
              <w:rPr>
                <w:sz w:val="16"/>
                <w:szCs w:val="16"/>
              </w:rPr>
              <w:t>skewness</w:t>
            </w:r>
          </w:p>
        </w:tc>
        <w:tc>
          <w:tcPr>
            <w:tcW w:w="900" w:type="dxa"/>
          </w:tcPr>
          <w:p w:rsidR="00476018" w:rsidRPr="005A4DC2" w:rsidRDefault="00476018" w:rsidP="007C106B">
            <w:pPr>
              <w:rPr>
                <w:sz w:val="16"/>
                <w:szCs w:val="16"/>
              </w:rPr>
            </w:pPr>
            <w:r w:rsidRPr="005A4DC2">
              <w:rPr>
                <w:sz w:val="16"/>
                <w:szCs w:val="16"/>
              </w:rPr>
              <w:t>-18744.08</w:t>
            </w:r>
          </w:p>
        </w:tc>
        <w:tc>
          <w:tcPr>
            <w:tcW w:w="900" w:type="dxa"/>
          </w:tcPr>
          <w:p w:rsidR="00476018" w:rsidRPr="005A4DC2" w:rsidRDefault="00476018" w:rsidP="007C106B">
            <w:pPr>
              <w:rPr>
                <w:sz w:val="16"/>
                <w:szCs w:val="16"/>
              </w:rPr>
            </w:pPr>
            <w:r w:rsidRPr="005A4DC2">
              <w:rPr>
                <w:sz w:val="16"/>
                <w:szCs w:val="16"/>
              </w:rPr>
              <w:t>18744.08</w:t>
            </w:r>
          </w:p>
        </w:tc>
        <w:tc>
          <w:tcPr>
            <w:tcW w:w="540" w:type="dxa"/>
          </w:tcPr>
          <w:p w:rsidR="00476018" w:rsidRPr="005A4DC2" w:rsidRDefault="00476018" w:rsidP="007C106B">
            <w:pPr>
              <w:rPr>
                <w:sz w:val="16"/>
                <w:szCs w:val="16"/>
              </w:rPr>
            </w:pPr>
            <w:r w:rsidRPr="005A4DC2">
              <w:rPr>
                <w:sz w:val="16"/>
                <w:szCs w:val="16"/>
              </w:rPr>
              <w:t>4.47</w:t>
            </w:r>
          </w:p>
        </w:tc>
        <w:tc>
          <w:tcPr>
            <w:tcW w:w="540" w:type="dxa"/>
          </w:tcPr>
          <w:p w:rsidR="00476018" w:rsidRPr="005A4DC2" w:rsidRDefault="00476018" w:rsidP="007C106B">
            <w:pPr>
              <w:rPr>
                <w:sz w:val="16"/>
                <w:szCs w:val="16"/>
              </w:rPr>
            </w:pPr>
            <w:r w:rsidRPr="005A4DC2">
              <w:rPr>
                <w:sz w:val="16"/>
                <w:szCs w:val="16"/>
              </w:rPr>
              <w:t>0.02</w:t>
            </w:r>
          </w:p>
        </w:tc>
        <w:tc>
          <w:tcPr>
            <w:tcW w:w="720" w:type="dxa"/>
          </w:tcPr>
          <w:p w:rsidR="00476018" w:rsidRPr="005A4DC2" w:rsidRDefault="00476018" w:rsidP="007C106B">
            <w:pPr>
              <w:rPr>
                <w:sz w:val="16"/>
                <w:szCs w:val="16"/>
              </w:rPr>
            </w:pPr>
            <w:r w:rsidRPr="005A4DC2">
              <w:rPr>
                <w:sz w:val="16"/>
                <w:szCs w:val="16"/>
              </w:rPr>
              <w:t>55.17</w:t>
            </w:r>
          </w:p>
        </w:tc>
        <w:tc>
          <w:tcPr>
            <w:tcW w:w="630" w:type="dxa"/>
          </w:tcPr>
          <w:p w:rsidR="00476018" w:rsidRPr="005A4DC2" w:rsidRDefault="00476018" w:rsidP="007C106B">
            <w:pPr>
              <w:rPr>
                <w:sz w:val="16"/>
                <w:szCs w:val="16"/>
              </w:rPr>
            </w:pPr>
            <w:r w:rsidRPr="005A4DC2">
              <w:rPr>
                <w:sz w:val="16"/>
                <w:szCs w:val="16"/>
              </w:rPr>
              <w:t>-8.10</w:t>
            </w:r>
          </w:p>
        </w:tc>
      </w:tr>
      <w:tr w:rsidR="00476018" w:rsidRPr="005A4DC2" w:rsidTr="007C106B">
        <w:tc>
          <w:tcPr>
            <w:tcW w:w="895" w:type="dxa"/>
          </w:tcPr>
          <w:p w:rsidR="00476018" w:rsidRPr="005A4DC2" w:rsidRDefault="00476018" w:rsidP="007C106B">
            <w:pPr>
              <w:rPr>
                <w:sz w:val="16"/>
                <w:szCs w:val="16"/>
              </w:rPr>
            </w:pPr>
            <w:r w:rsidRPr="005A4DC2">
              <w:rPr>
                <w:sz w:val="16"/>
                <w:szCs w:val="16"/>
              </w:rPr>
              <w:t>kurtosis</w:t>
            </w:r>
          </w:p>
        </w:tc>
        <w:tc>
          <w:tcPr>
            <w:tcW w:w="900" w:type="dxa"/>
          </w:tcPr>
          <w:p w:rsidR="00476018" w:rsidRPr="005A4DC2" w:rsidRDefault="00476018" w:rsidP="007C106B">
            <w:pPr>
              <w:rPr>
                <w:sz w:val="16"/>
                <w:szCs w:val="16"/>
              </w:rPr>
            </w:pPr>
            <w:r w:rsidRPr="005A4DC2">
              <w:rPr>
                <w:sz w:val="16"/>
                <w:szCs w:val="16"/>
              </w:rPr>
              <w:t>4.99</w:t>
            </w:r>
          </w:p>
        </w:tc>
        <w:tc>
          <w:tcPr>
            <w:tcW w:w="900" w:type="dxa"/>
          </w:tcPr>
          <w:p w:rsidR="00476018" w:rsidRPr="005A4DC2" w:rsidRDefault="00476018" w:rsidP="007C106B">
            <w:pPr>
              <w:rPr>
                <w:sz w:val="16"/>
                <w:szCs w:val="16"/>
              </w:rPr>
            </w:pPr>
            <w:r w:rsidRPr="005A4DC2">
              <w:rPr>
                <w:sz w:val="16"/>
                <w:szCs w:val="16"/>
              </w:rPr>
              <w:t>4.99</w:t>
            </w:r>
          </w:p>
        </w:tc>
        <w:tc>
          <w:tcPr>
            <w:tcW w:w="540" w:type="dxa"/>
          </w:tcPr>
          <w:p w:rsidR="00476018" w:rsidRPr="005A4DC2" w:rsidRDefault="00476018" w:rsidP="007C106B">
            <w:pPr>
              <w:rPr>
                <w:sz w:val="16"/>
                <w:szCs w:val="16"/>
              </w:rPr>
            </w:pPr>
            <w:r w:rsidRPr="005A4DC2">
              <w:rPr>
                <w:sz w:val="16"/>
                <w:szCs w:val="16"/>
              </w:rPr>
              <w:t>7.59</w:t>
            </w:r>
          </w:p>
        </w:tc>
        <w:tc>
          <w:tcPr>
            <w:tcW w:w="540" w:type="dxa"/>
          </w:tcPr>
          <w:p w:rsidR="00476018" w:rsidRPr="005A4DC2" w:rsidRDefault="00476018" w:rsidP="007C106B">
            <w:pPr>
              <w:rPr>
                <w:sz w:val="16"/>
                <w:szCs w:val="16"/>
              </w:rPr>
            </w:pPr>
            <w:r w:rsidRPr="005A4DC2">
              <w:rPr>
                <w:sz w:val="16"/>
                <w:szCs w:val="16"/>
              </w:rPr>
              <w:t>0.95</w:t>
            </w:r>
          </w:p>
        </w:tc>
        <w:tc>
          <w:tcPr>
            <w:tcW w:w="720" w:type="dxa"/>
          </w:tcPr>
          <w:p w:rsidR="00476018" w:rsidRPr="005A4DC2" w:rsidRDefault="00476018" w:rsidP="007C106B">
            <w:pPr>
              <w:rPr>
                <w:sz w:val="16"/>
                <w:szCs w:val="16"/>
              </w:rPr>
            </w:pPr>
            <w:r w:rsidRPr="005A4DC2">
              <w:rPr>
                <w:sz w:val="16"/>
                <w:szCs w:val="16"/>
              </w:rPr>
              <w:t>232.61</w:t>
            </w:r>
          </w:p>
        </w:tc>
        <w:tc>
          <w:tcPr>
            <w:tcW w:w="630" w:type="dxa"/>
          </w:tcPr>
          <w:p w:rsidR="00476018" w:rsidRPr="005A4DC2" w:rsidRDefault="00476018" w:rsidP="007C106B">
            <w:pPr>
              <w:rPr>
                <w:sz w:val="16"/>
                <w:szCs w:val="16"/>
              </w:rPr>
            </w:pPr>
            <w:r w:rsidRPr="005A4DC2">
              <w:rPr>
                <w:sz w:val="16"/>
                <w:szCs w:val="16"/>
              </w:rPr>
              <w:t>16.68</w:t>
            </w:r>
          </w:p>
        </w:tc>
      </w:tr>
    </w:tbl>
    <w:p w:rsidR="00476018" w:rsidRDefault="00476018" w:rsidP="00E5482F">
      <w:pPr>
        <w:rPr>
          <w:rFonts w:cstheme="minorHAnsi"/>
        </w:rPr>
      </w:pPr>
    </w:p>
    <w:p w:rsidR="00651DF4" w:rsidRPr="00476018" w:rsidRDefault="00476018">
      <w:pPr>
        <w:rPr>
          <w:rFonts w:cstheme="minorHAnsi"/>
        </w:rPr>
      </w:pPr>
      <w:r w:rsidRPr="005A4DC2">
        <w:rPr>
          <w:rFonts w:cstheme="minorHAnsi"/>
        </w:rPr>
        <w:t xml:space="preserve">India's urban population distribution is significantly left-skewed, </w:t>
      </w:r>
      <w:r>
        <w:rPr>
          <w:rFonts w:cstheme="minorHAnsi"/>
        </w:rPr>
        <w:t>going</w:t>
      </w:r>
      <w:r w:rsidRPr="005A4DC2">
        <w:rPr>
          <w:rFonts w:cstheme="minorHAnsi"/>
        </w:rPr>
        <w:t xml:space="preserve"> towards lower values, while rural population is highly right-skewed, favoring higher values. Inflation leaning towards higher values with a kurtosis suggesting occasional extreme values. Fuel imports exhibit a highly right-skewed distribution with an exceptionally high kurtosis, indicating concentration towards higher values and potential outliers.</w:t>
      </w:r>
    </w:p>
    <w:sectPr w:rsidR="00651DF4" w:rsidRPr="00476018" w:rsidSect="00857A76">
      <w:type w:val="continuous"/>
      <w:pgSz w:w="11907" w:h="16839" w:code="9"/>
      <w:pgMar w:top="864" w:right="864" w:bottom="864" w:left="86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F2D"/>
    <w:rsid w:val="000F082B"/>
    <w:rsid w:val="00187F46"/>
    <w:rsid w:val="001F10B7"/>
    <w:rsid w:val="0027537E"/>
    <w:rsid w:val="00431F2D"/>
    <w:rsid w:val="00476018"/>
    <w:rsid w:val="00651DF4"/>
    <w:rsid w:val="00857A76"/>
    <w:rsid w:val="00962C15"/>
    <w:rsid w:val="00A01FC7"/>
    <w:rsid w:val="00AF7260"/>
    <w:rsid w:val="00CD7819"/>
    <w:rsid w:val="00D02C43"/>
    <w:rsid w:val="00E54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C7840-F906-4A37-B059-FC1919FE1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0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2023-12-12T22:42:00Z</dcterms:created>
  <dcterms:modified xsi:type="dcterms:W3CDTF">2023-12-13T01:58:00Z</dcterms:modified>
</cp:coreProperties>
</file>