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808C" w14:textId="39688815" w:rsidR="00B626CA" w:rsidRDefault="00B626CA" w:rsidP="00B626CA">
      <w:pPr>
        <w:pStyle w:val="Heading1"/>
        <w:jc w:val="center"/>
      </w:pPr>
      <w:r>
        <w:t>Effect of Anger Emotion on Facial Landmarks</w:t>
      </w:r>
    </w:p>
    <w:p w14:paraId="7A395901" w14:textId="0518713B" w:rsidR="00B626CA" w:rsidRDefault="00B626CA" w:rsidP="00B626CA"/>
    <w:p w14:paraId="15BC8D46" w14:textId="50448900" w:rsidR="00B626CA" w:rsidRDefault="0026218C" w:rsidP="0026218C">
      <w:r>
        <w:t>Th</w:t>
      </w:r>
      <w:r w:rsidR="00B626CA" w:rsidRPr="00B626CA">
        <w:t>e results presented by Beaudry et al</w:t>
      </w:r>
      <w:r w:rsidR="00B626CA" w:rsidRPr="0026218C">
        <w:rPr>
          <w:i/>
          <w:iCs/>
        </w:rPr>
        <w:t>.</w:t>
      </w:r>
      <w:hyperlink r:id="rId5" w:anchor="ref-CR35" w:tooltip="Beaudry, O., Roy-Charland, A., Perron, M., Cormier, I. &amp; Tapp, R. Featural processing in recognition of emotional facial expressions. Cogn. Emot. 28, 416–432 (2013)." w:history="1">
        <w:r w:rsidR="00B626CA" w:rsidRPr="00B626CA">
          <w:rPr>
            <w:rStyle w:val="Hyperlink"/>
          </w:rPr>
          <w:t>35</w:t>
        </w:r>
      </w:hyperlink>
      <w:r w:rsidR="00B626CA" w:rsidRPr="00B626CA">
        <w:t> suggest that the mouth is the major landmark when observing a happy emotion and that the eyes are the major landmarks when observing a sad emotion.</w:t>
      </w:r>
    </w:p>
    <w:p w14:paraId="34D35301" w14:textId="77777777" w:rsidR="00B626CA" w:rsidRDefault="00B626CA" w:rsidP="0026218C">
      <w:r>
        <w:t xml:space="preserve">Source – </w:t>
      </w:r>
    </w:p>
    <w:p w14:paraId="551E1FC3" w14:textId="66ABF111" w:rsidR="00B626CA" w:rsidRDefault="00B626CA" w:rsidP="0026218C">
      <w:pPr>
        <w:ind w:left="720"/>
      </w:pPr>
      <w:r w:rsidRPr="00B626CA">
        <w:t>Beaudry, O., Roy-Charland, A., Perron, M., Cormier, I. &amp; Tapp, R. Featural processing in recognition of emotional facial expressions. </w:t>
      </w:r>
      <w:proofErr w:type="spellStart"/>
      <w:r w:rsidRPr="0026218C">
        <w:rPr>
          <w:i/>
          <w:iCs/>
        </w:rPr>
        <w:t>Cogn</w:t>
      </w:r>
      <w:proofErr w:type="spellEnd"/>
      <w:r w:rsidRPr="0026218C">
        <w:rPr>
          <w:i/>
          <w:iCs/>
        </w:rPr>
        <w:t xml:space="preserve">. </w:t>
      </w:r>
      <w:proofErr w:type="spellStart"/>
      <w:r w:rsidRPr="0026218C">
        <w:rPr>
          <w:i/>
          <w:iCs/>
        </w:rPr>
        <w:t>Emot</w:t>
      </w:r>
      <w:proofErr w:type="spellEnd"/>
      <w:r w:rsidRPr="0026218C">
        <w:rPr>
          <w:i/>
          <w:iCs/>
        </w:rPr>
        <w:t>.</w:t>
      </w:r>
      <w:r w:rsidRPr="00B626CA">
        <w:t> </w:t>
      </w:r>
      <w:r w:rsidRPr="0026218C">
        <w:rPr>
          <w:b/>
          <w:bCs/>
        </w:rPr>
        <w:t>28</w:t>
      </w:r>
      <w:r w:rsidRPr="00B626CA">
        <w:t>, 416–432 (2013).</w:t>
      </w:r>
    </w:p>
    <w:p w14:paraId="2E35F5D3" w14:textId="67247A04" w:rsidR="00B626CA" w:rsidRDefault="00B626CA" w:rsidP="00B626CA">
      <w:pPr>
        <w:pStyle w:val="ListParagraph"/>
        <w:ind w:left="1440"/>
      </w:pPr>
    </w:p>
    <w:p w14:paraId="7E9FB4A4" w14:textId="77777777" w:rsidR="000C704A" w:rsidRDefault="000C704A" w:rsidP="0026218C">
      <w:r w:rsidRPr="000C704A">
        <w:t xml:space="preserve">The upper parts of the face provide the most details concerning a person’s emotional condition when they are afraid or angry, and the lower and upper parts provide the same information when the person is sad or neutral </w:t>
      </w:r>
    </w:p>
    <w:p w14:paraId="1FE1069A" w14:textId="77777777" w:rsidR="000C704A" w:rsidRDefault="000C704A" w:rsidP="0026218C">
      <w:r>
        <w:t>Source-</w:t>
      </w:r>
    </w:p>
    <w:p w14:paraId="450D58FD" w14:textId="77A09911" w:rsidR="000C704A" w:rsidRDefault="000C704A" w:rsidP="0026218C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Blais, C.; Roy, C.; Fiset, D.; Arguin, M.; Gosselin, F. The eyes are not the window to basic emotions. </w:t>
      </w:r>
      <w:proofErr w:type="spellStart"/>
      <w:r>
        <w:rPr>
          <w:rStyle w:val="html-italic"/>
          <w:rFonts w:ascii="Arial" w:hAnsi="Arial" w:cs="Arial"/>
          <w:i/>
          <w:iCs/>
          <w:color w:val="222222"/>
          <w:sz w:val="20"/>
          <w:szCs w:val="20"/>
        </w:rPr>
        <w:t>Neuropsychologia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</w:rPr>
        <w:t>2012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html-italic"/>
          <w:rFonts w:ascii="Arial" w:hAnsi="Arial" w:cs="Arial"/>
          <w:i/>
          <w:iCs/>
          <w:color w:val="222222"/>
          <w:sz w:val="20"/>
          <w:szCs w:val="20"/>
        </w:rPr>
        <w:t>50</w:t>
      </w:r>
      <w:r>
        <w:rPr>
          <w:rFonts w:ascii="Arial" w:hAnsi="Arial" w:cs="Arial"/>
          <w:color w:val="222222"/>
          <w:sz w:val="20"/>
          <w:szCs w:val="20"/>
        </w:rPr>
        <w:t>, 2830–2838. [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color w:val="4F5671"/>
            <w:sz w:val="20"/>
            <w:szCs w:val="20"/>
          </w:rPr>
          <w:t>Google Scholar</w:t>
        </w:r>
      </w:hyperlink>
      <w:r>
        <w:rPr>
          <w:rFonts w:ascii="Arial" w:hAnsi="Arial" w:cs="Arial"/>
          <w:color w:val="222222"/>
          <w:sz w:val="20"/>
          <w:szCs w:val="20"/>
        </w:rPr>
        <w:t>] 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fldChar w:fldCharType="begin"/>
      </w:r>
      <w:r>
        <w:rPr>
          <w:rFonts w:ascii="Arial" w:hAnsi="Arial" w:cs="Arial"/>
          <w:color w:val="222222"/>
          <w:sz w:val="20"/>
          <w:szCs w:val="20"/>
        </w:rPr>
        <w:instrText xml:space="preserve"> HYPERLINK "https://doi.org/10.1016/j.neuropsychologia.2012.08.010" \t "_blank" </w:instrText>
      </w:r>
      <w:r>
        <w:rPr>
          <w:rFonts w:ascii="Arial" w:hAnsi="Arial" w:cs="Arial"/>
          <w:color w:val="222222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b/>
          <w:bCs/>
          <w:color w:val="4F5671"/>
          <w:sz w:val="20"/>
          <w:szCs w:val="20"/>
        </w:rPr>
        <w:t>CrossRef</w:t>
      </w:r>
      <w:proofErr w:type="spellEnd"/>
      <w:r>
        <w:rPr>
          <w:rFonts w:ascii="Arial" w:hAnsi="Arial" w:cs="Arial"/>
          <w:color w:val="222222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]</w:t>
      </w:r>
    </w:p>
    <w:p w14:paraId="30F2BCF6" w14:textId="77777777" w:rsidR="0026218C" w:rsidRDefault="0026218C" w:rsidP="0026218C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0"/>
          <w:szCs w:val="20"/>
        </w:rPr>
      </w:pPr>
    </w:p>
    <w:p w14:paraId="71ECCA8A" w14:textId="62855AA1" w:rsidR="0026218C" w:rsidRPr="0026218C" w:rsidRDefault="000C704A" w:rsidP="0026218C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Wegrzyn, M.; Vogt, M.;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Kireclioglu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B.; Schneider, J.; Kissler, J. Mapping the emotional face. How individual face parts contribute to successful emotion recognition. </w:t>
      </w:r>
      <w:proofErr w:type="spellStart"/>
      <w:r>
        <w:rPr>
          <w:rStyle w:val="html-italic"/>
          <w:rFonts w:ascii="Arial" w:hAnsi="Arial" w:cs="Arial"/>
          <w:i/>
          <w:iCs/>
          <w:color w:val="222222"/>
          <w:sz w:val="20"/>
          <w:szCs w:val="20"/>
        </w:rPr>
        <w:t>PLoS</w:t>
      </w:r>
      <w:proofErr w:type="spellEnd"/>
      <w:r>
        <w:rPr>
          <w:rStyle w:val="html-italic"/>
          <w:rFonts w:ascii="Arial" w:hAnsi="Arial" w:cs="Arial"/>
          <w:i/>
          <w:iCs/>
          <w:color w:val="222222"/>
          <w:sz w:val="20"/>
          <w:szCs w:val="20"/>
        </w:rPr>
        <w:t xml:space="preserve"> ONE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</w:rPr>
        <w:t>2017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html-italic"/>
          <w:rFonts w:ascii="Arial" w:hAnsi="Arial" w:cs="Arial"/>
          <w:i/>
          <w:iCs/>
          <w:color w:val="222222"/>
          <w:sz w:val="20"/>
          <w:szCs w:val="20"/>
        </w:rPr>
        <w:t>12</w:t>
      </w:r>
      <w:r>
        <w:rPr>
          <w:rFonts w:ascii="Arial" w:hAnsi="Arial" w:cs="Arial"/>
          <w:color w:val="222222"/>
          <w:sz w:val="20"/>
          <w:szCs w:val="20"/>
        </w:rPr>
        <w:t>, e0177239. [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color w:val="4F5671"/>
            <w:sz w:val="20"/>
            <w:szCs w:val="20"/>
          </w:rPr>
          <w:t>Google Scholar</w:t>
        </w:r>
      </w:hyperlink>
      <w:r>
        <w:rPr>
          <w:rFonts w:ascii="Arial" w:hAnsi="Arial" w:cs="Arial"/>
          <w:color w:val="222222"/>
          <w:sz w:val="20"/>
          <w:szCs w:val="20"/>
        </w:rPr>
        <w:t>] 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fldChar w:fldCharType="begin"/>
      </w:r>
      <w:r>
        <w:rPr>
          <w:rFonts w:ascii="Arial" w:hAnsi="Arial" w:cs="Arial"/>
          <w:color w:val="222222"/>
          <w:sz w:val="20"/>
          <w:szCs w:val="20"/>
        </w:rPr>
        <w:instrText xml:space="preserve"> HYPERLINK "https://doi.org/10.1371/journal.pone.0177239" \t "_blank" </w:instrText>
      </w:r>
      <w:r>
        <w:rPr>
          <w:rFonts w:ascii="Arial" w:hAnsi="Arial" w:cs="Arial"/>
          <w:color w:val="222222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b/>
          <w:bCs/>
          <w:color w:val="4F5671"/>
          <w:sz w:val="20"/>
          <w:szCs w:val="20"/>
        </w:rPr>
        <w:t>CrossRef</w:t>
      </w:r>
      <w:proofErr w:type="spellEnd"/>
      <w:r>
        <w:rPr>
          <w:rFonts w:ascii="Arial" w:hAnsi="Arial" w:cs="Arial"/>
          <w:color w:val="222222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][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4F5671"/>
            <w:sz w:val="20"/>
            <w:szCs w:val="20"/>
          </w:rPr>
          <w:t>Green Version</w:t>
        </w:r>
      </w:hyperlink>
      <w:r>
        <w:rPr>
          <w:rFonts w:ascii="Arial" w:hAnsi="Arial" w:cs="Arial"/>
          <w:color w:val="222222"/>
          <w:sz w:val="20"/>
          <w:szCs w:val="20"/>
        </w:rPr>
        <w:t>]</w:t>
      </w:r>
    </w:p>
    <w:p w14:paraId="08582D5B" w14:textId="77777777" w:rsidR="0026218C" w:rsidRDefault="0026218C" w:rsidP="0026218C"/>
    <w:p w14:paraId="320B5560" w14:textId="77777777" w:rsidR="0026218C" w:rsidRDefault="0026218C" w:rsidP="0026218C"/>
    <w:p w14:paraId="4A179201" w14:textId="713C5164" w:rsidR="00E428F9" w:rsidRDefault="0026218C" w:rsidP="0026218C">
      <w:r>
        <w:t>W</w:t>
      </w:r>
      <w:r w:rsidRPr="0026218C">
        <w:t>hen someone feels angry or disgusted, their eyebrows will naturally lower</w:t>
      </w:r>
      <w:r>
        <w:t>.</w:t>
      </w:r>
    </w:p>
    <w:p w14:paraId="19032C00" w14:textId="76398F46" w:rsidR="0026218C" w:rsidRDefault="0026218C" w:rsidP="00E428F9">
      <w:r>
        <w:t>Source-</w:t>
      </w:r>
    </w:p>
    <w:p w14:paraId="193A6B8A" w14:textId="06F01C14" w:rsidR="0026218C" w:rsidRPr="00B626CA" w:rsidRDefault="0026218C" w:rsidP="00E428F9">
      <w:hyperlink r:id="rId9" w:anchor="B34-sensors-23-01080" w:history="1">
        <w:r>
          <w:rPr>
            <w:rStyle w:val="Hyperlink"/>
          </w:rPr>
          <w:t>Sensors | Free Full-Text | Masked Face Emotion Recognition Based on Facial Landmarks and Deep Learning Approaches for Visually Impaired People (mdpi.c</w:t>
        </w:r>
        <w:r>
          <w:rPr>
            <w:rStyle w:val="Hyperlink"/>
          </w:rPr>
          <w:t>om)</w:t>
        </w:r>
      </w:hyperlink>
    </w:p>
    <w:sectPr w:rsidR="0026218C" w:rsidRPr="00B6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306"/>
    <w:multiLevelType w:val="multilevel"/>
    <w:tmpl w:val="AF8C436A"/>
    <w:lvl w:ilvl="0">
      <w:start w:val="1"/>
      <w:numFmt w:val="decimal"/>
      <w:lvlText w:val="%1."/>
      <w:lvlJc w:val="left"/>
      <w:pPr>
        <w:tabs>
          <w:tab w:val="num" w:pos="1176"/>
        </w:tabs>
        <w:ind w:left="1176" w:hanging="360"/>
      </w:pPr>
    </w:lvl>
    <w:lvl w:ilvl="1" w:tentative="1">
      <w:start w:val="1"/>
      <w:numFmt w:val="decimal"/>
      <w:lvlText w:val="%2."/>
      <w:lvlJc w:val="left"/>
      <w:pPr>
        <w:tabs>
          <w:tab w:val="num" w:pos="1896"/>
        </w:tabs>
        <w:ind w:left="1896" w:hanging="360"/>
      </w:pPr>
    </w:lvl>
    <w:lvl w:ilvl="2" w:tentative="1">
      <w:start w:val="1"/>
      <w:numFmt w:val="decimal"/>
      <w:lvlText w:val="%3."/>
      <w:lvlJc w:val="left"/>
      <w:pPr>
        <w:tabs>
          <w:tab w:val="num" w:pos="2616"/>
        </w:tabs>
        <w:ind w:left="2616" w:hanging="360"/>
      </w:pPr>
    </w:lvl>
    <w:lvl w:ilvl="3" w:tentative="1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 w:tentative="1">
      <w:start w:val="1"/>
      <w:numFmt w:val="decimal"/>
      <w:lvlText w:val="%5."/>
      <w:lvlJc w:val="left"/>
      <w:pPr>
        <w:tabs>
          <w:tab w:val="num" w:pos="4056"/>
        </w:tabs>
        <w:ind w:left="4056" w:hanging="360"/>
      </w:pPr>
    </w:lvl>
    <w:lvl w:ilvl="5" w:tentative="1">
      <w:start w:val="1"/>
      <w:numFmt w:val="decimal"/>
      <w:lvlText w:val="%6."/>
      <w:lvlJc w:val="left"/>
      <w:pPr>
        <w:tabs>
          <w:tab w:val="num" w:pos="4776"/>
        </w:tabs>
        <w:ind w:left="4776" w:hanging="360"/>
      </w:pPr>
    </w:lvl>
    <w:lvl w:ilvl="6" w:tentative="1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 w:tentative="1">
      <w:start w:val="1"/>
      <w:numFmt w:val="decimal"/>
      <w:lvlText w:val="%8."/>
      <w:lvlJc w:val="left"/>
      <w:pPr>
        <w:tabs>
          <w:tab w:val="num" w:pos="6216"/>
        </w:tabs>
        <w:ind w:left="6216" w:hanging="360"/>
      </w:pPr>
    </w:lvl>
    <w:lvl w:ilvl="8" w:tentative="1">
      <w:start w:val="1"/>
      <w:numFmt w:val="decimal"/>
      <w:lvlText w:val="%9."/>
      <w:lvlJc w:val="left"/>
      <w:pPr>
        <w:tabs>
          <w:tab w:val="num" w:pos="6936"/>
        </w:tabs>
        <w:ind w:left="6936" w:hanging="360"/>
      </w:pPr>
    </w:lvl>
  </w:abstractNum>
  <w:abstractNum w:abstractNumId="1" w15:restartNumberingAfterBreak="0">
    <w:nsid w:val="24563B1F"/>
    <w:multiLevelType w:val="hybridMultilevel"/>
    <w:tmpl w:val="76949912"/>
    <w:lvl w:ilvl="0" w:tplc="52AABF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C6295"/>
    <w:multiLevelType w:val="hybridMultilevel"/>
    <w:tmpl w:val="A588C7AC"/>
    <w:lvl w:ilvl="0" w:tplc="69AED4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CA"/>
    <w:rsid w:val="000C704A"/>
    <w:rsid w:val="0026218C"/>
    <w:rsid w:val="006830B4"/>
    <w:rsid w:val="00756FF8"/>
    <w:rsid w:val="00B626CA"/>
    <w:rsid w:val="00E4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E368"/>
  <w15:chartTrackingRefBased/>
  <w15:docId w15:val="{B1250AE0-14AD-4FB0-86A5-8646631C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CA"/>
    <w:rPr>
      <w:color w:val="605E5C"/>
      <w:shd w:val="clear" w:color="auto" w:fill="E1DFDD"/>
    </w:rPr>
  </w:style>
  <w:style w:type="paragraph" w:customStyle="1" w:styleId="html-xx">
    <w:name w:val="html-xx"/>
    <w:basedOn w:val="Normal"/>
    <w:rsid w:val="000C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italic">
    <w:name w:val="html-italic"/>
    <w:basedOn w:val="DefaultParagraphFont"/>
    <w:rsid w:val="000C704A"/>
  </w:style>
  <w:style w:type="character" w:styleId="FollowedHyperlink">
    <w:name w:val="FollowedHyperlink"/>
    <w:basedOn w:val="DefaultParagraphFont"/>
    <w:uiPriority w:val="99"/>
    <w:semiHidden/>
    <w:unhideWhenUsed/>
    <w:rsid w:val="00262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/file?id=10.1371/journal.pone.0177239&amp;type=prin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scholar_lookup?title=Mapping+the+emotional+face.+How+individual+face+parts+contribute+to+successful+emotion+recognition&amp;author=Wegrzyn,+M.&amp;author=Vogt,+M.&amp;author=Kireclioglu,+B.&amp;author=Schneider,+J.&amp;author=Kissler,+J.&amp;publication_year=2017&amp;journal=PLoS+ONE&amp;volume=12&amp;pages=e0177239&amp;doi=10.1371/journal.pone.01772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scholar_lookup?title=The+eyes+are+not+the+window+to+basic+emotions&amp;author=Blais,+C.&amp;author=Roy,+C.&amp;author=Fiset,+D.&amp;author=Arguin,+M.&amp;author=Gosselin,+F.&amp;publication_year=2012&amp;journal=Neuropsychologia&amp;volume=50&amp;pages=2830%E2%80%932838&amp;doi=10.1016/j.neuropsychologia.2012.08.0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ure.com/articles/s41598-023-35446-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3/3/1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Al Mujadded</dc:creator>
  <cp:keywords/>
  <dc:description/>
  <cp:lastModifiedBy>Siam Al Mujadded</cp:lastModifiedBy>
  <cp:revision>2</cp:revision>
  <dcterms:created xsi:type="dcterms:W3CDTF">2023-11-29T14:39:00Z</dcterms:created>
  <dcterms:modified xsi:type="dcterms:W3CDTF">2023-12-11T14:40:00Z</dcterms:modified>
</cp:coreProperties>
</file>