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GAWAIN 4. Pagpapaulad ng Kaalaman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Panuto: </w:t>
      </w:r>
      <w:r w:rsidDel="00000000" w:rsidR="00000000" w:rsidRPr="00000000">
        <w:rPr>
          <w:rtl w:val="0"/>
        </w:rPr>
        <w:t xml:space="preserve">Basahin at unawain ang halimbawa ng Haiku, Tanka at Tanaga. Sagutin ang mga kasunod na tanong sa sagutang papel.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HAIKU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TANAGA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TANKA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Corona Virus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 Leah L. Mesina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Mag-ingat tayo</w:t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 virus na kumalat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nakamamatay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Pandemya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 Leah L. Mesina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Hangad ang kaligtasan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Lahat ng mamamayan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Sana’y masolusyunan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Itong nararanasan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Pagbabago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 Leah L. Mesina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pagbabago pa ba?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 ating bansa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Sapagkat nanganganib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Ang bawat isa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Magtulungan ang lahat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Ibigay ang denotasyon at konotasyon ng mga sumusunod na salita: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00000000002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6"/>
        <w:gridCol w:w="2873"/>
        <w:gridCol w:w="2871"/>
        <w:tblGridChange w:id="0">
          <w:tblGrid>
            <w:gridCol w:w="2886"/>
            <w:gridCol w:w="2873"/>
            <w:gridCol w:w="2871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Salita 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Denotasyon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Konotasyon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Virus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Kaligtasan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Mamamayan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Pagbabago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Bansa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Paghambingin ang ilang halimbawa 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Tanka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Haiku,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 Tanaga batay sa sukat,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tugma at pagbigkas.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May pagkakatulad ba ang pagsulat ng mga Pilipino ng Tanaga sa pagsulat ng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Tanka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Haiku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ng mga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Hapon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 Patunayan.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Masasalamin ba sa halimbawang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Haiku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anka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 Tanaga na naibigay ang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kultura ng bansang pinagmulan nito? Ipaliwanag.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Batay sa mga nabasang halimbawa ng tula, anong mga isyung panlipunan ang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maaaring maiugnay sa mga ito?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Gawain 5. Paglikha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Panuto: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Gumawa ng haiku at tanka na ukol sa COVID19. Gamitin ang estilo nito at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isulat sa isang buong papel.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53163</wp:posOffset>
            </wp:positionH>
            <wp:positionV relativeFrom="paragraph">
              <wp:posOffset>518367</wp:posOffset>
            </wp:positionV>
            <wp:extent cx="5943600" cy="22002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22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-BoldMT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