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720" w:after="0"/>
      </w:pPr>
    </w:p>
    <w:p>
      <w:pPr>
        <w:pStyle w:val="Title"/>
        <w:spacing w:before="0" w:after="160"/>
        <w:jc w:val="center"/>
      </w:pPr>
      <w:r>
        <w:rPr>
          <w:rFonts w:ascii="Helvetica Neue" w:hAnsi="Helvetica Neue" w:eastAsia="Helvetica Neue"/>
          <w:b/>
          <w:i w:val="0"/>
          <w:color w:val="112075"/>
          <w:sz w:val="64"/>
        </w:rPr>
        <w:t>ENTER AWS COST REPORT</w:t>
      </w:r>
    </w:p>
    <w:p>
      <w:pPr>
        <w:spacing w:after="200"/>
        <w:jc w:val="center"/>
      </w:pPr>
      <w:r>
        <w:rPr>
          <w:rFonts w:ascii="Helvetica Neue" w:hAnsi="Helvetica Neue" w:eastAsia="Helvetica Neue"/>
          <w:b/>
          <w:i w:val="0"/>
          <w:color w:val="7D8BD6"/>
          <w:sz w:val="38"/>
        </w:rPr>
        <w:t>Verified spend, credit runway, and launch readiness</w:t>
      </w:r>
    </w:p>
    <w:p>
      <w:pPr>
        <w:spacing w:after="2240"/>
        <w:jc w:val="center"/>
      </w:pPr>
      <w:r>
        <w:rPr>
          <w:rFonts w:ascii="Helvetica Neue" w:hAnsi="Helvetica Neue" w:eastAsia="Helvetica Neue"/>
          <w:b w:val="0"/>
          <w:i w:val="0"/>
          <w:color w:val="666666"/>
          <w:sz w:val="22"/>
        </w:rPr>
        <w:t>Candidate Platform · Sydney (ap-southeast-2)</w:t>
      </w:r>
    </w:p>
    <w:tbl>
      <w:tblPr>
        <w:tblW w:type="auto" w:w="0"/>
        <w:jc w:val="center"/>
        <w:tblLayout w:type="fixed"/>
        <w:tblLook w:firstColumn="1" w:firstRow="1" w:lastColumn="0" w:lastRow="0" w:noHBand="0" w:noVBand="1" w:val="04A0"/>
      </w:tblPr>
      <w:tblGrid>
        <w:gridCol w:w="4680"/>
        <w:gridCol w:w="4680"/>
      </w:tblGrid>
      <w:tr>
        <w:trPr>
          <w:cantSplit/>
        </w:trPr>
        <w:tc>
          <w:tcPr>
            <w:tcW w:type="dxa" w:w="2232"/>
            <w:tcMar>
              <w:top w:w="65" w:type="dxa"/>
              <w:start w:w="0" w:type="dxa"/>
              <w:bottom w:w="65" w:type="dxa"/>
              <w:end w:w="80" w:type="dxa"/>
            </w:tcMar>
          </w:tcPr>
          <w:p>
            <w:pPr>
              <w:spacing w:after="0"/>
            </w:pPr>
            <w:r>
              <w:rPr>
                <w:rFonts w:ascii="Helvetica Neue" w:hAnsi="Helvetica Neue" w:eastAsia="Helvetica Neue"/>
                <w:b/>
                <w:i w:val="0"/>
                <w:color w:val="112075"/>
                <w:sz w:val="19"/>
              </w:rPr>
              <w:t>Prepared for</w:t>
            </w:r>
          </w:p>
        </w:tc>
        <w:tc>
          <w:tcPr>
            <w:tcW w:type="dxa" w:w="7128"/>
            <w:tcMar>
              <w:top w:w="65" w:type="dxa"/>
              <w:start w:w="0" w:type="dxa"/>
              <w:bottom w:w="65" w:type="dxa"/>
              <w:end w:w="80" w:type="dxa"/>
            </w:tcMar>
          </w:tcPr>
          <w:p>
            <w:pPr>
              <w:spacing w:after="0"/>
            </w:pPr>
            <w:r>
              <w:rPr>
                <w:rFonts w:ascii="Arial" w:hAnsi="Arial" w:eastAsia="Arial"/>
                <w:b w:val="0"/>
                <w:i w:val="0"/>
                <w:color w:val="000000"/>
                <w:sz w:val="19"/>
              </w:rPr>
              <w:t>Technical Manager</w:t>
            </w:r>
          </w:p>
        </w:tc>
      </w:tr>
      <w:tr>
        <w:trPr>
          <w:cantSplit/>
        </w:trPr>
        <w:tc>
          <w:tcPr>
            <w:tcW w:type="dxa" w:w="2232"/>
            <w:tcMar>
              <w:top w:w="65" w:type="dxa"/>
              <w:start w:w="0" w:type="dxa"/>
              <w:bottom w:w="65" w:type="dxa"/>
              <w:end w:w="80" w:type="dxa"/>
            </w:tcMar>
          </w:tcPr>
          <w:p>
            <w:pPr>
              <w:spacing w:after="0"/>
            </w:pPr>
            <w:r>
              <w:rPr>
                <w:rFonts w:ascii="Helvetica Neue" w:hAnsi="Helvetica Neue" w:eastAsia="Helvetica Neue"/>
                <w:b/>
                <w:i w:val="0"/>
                <w:color w:val="112075"/>
                <w:sz w:val="19"/>
              </w:rPr>
              <w:t>Account</w:t>
            </w:r>
          </w:p>
        </w:tc>
        <w:tc>
          <w:tcPr>
            <w:tcW w:type="dxa" w:w="7128"/>
            <w:tcMar>
              <w:top w:w="65" w:type="dxa"/>
              <w:start w:w="0" w:type="dxa"/>
              <w:bottom w:w="65" w:type="dxa"/>
              <w:end w:w="80" w:type="dxa"/>
            </w:tcMar>
          </w:tcPr>
          <w:p>
            <w:pPr>
              <w:spacing w:after="0"/>
            </w:pPr>
            <w:r>
              <w:rPr>
                <w:rFonts w:ascii="Arial" w:hAnsi="Arial" w:eastAsia="Arial"/>
                <w:b w:val="0"/>
                <w:i w:val="0"/>
                <w:color w:val="000000"/>
                <w:sz w:val="19"/>
              </w:rPr>
              <w:t>431988153216</w:t>
            </w:r>
          </w:p>
        </w:tc>
      </w:tr>
      <w:tr>
        <w:trPr>
          <w:cantSplit/>
        </w:trPr>
        <w:tc>
          <w:tcPr>
            <w:tcW w:type="dxa" w:w="2232"/>
            <w:tcMar>
              <w:top w:w="65" w:type="dxa"/>
              <w:start w:w="0" w:type="dxa"/>
              <w:bottom w:w="65" w:type="dxa"/>
              <w:end w:w="80" w:type="dxa"/>
            </w:tcMar>
          </w:tcPr>
          <w:p>
            <w:pPr>
              <w:spacing w:after="0"/>
            </w:pPr>
            <w:r>
              <w:rPr>
                <w:rFonts w:ascii="Helvetica Neue" w:hAnsi="Helvetica Neue" w:eastAsia="Helvetica Neue"/>
                <w:b/>
                <w:i w:val="0"/>
                <w:color w:val="112075"/>
                <w:sz w:val="19"/>
              </w:rPr>
              <w:t>Observation date</w:t>
            </w:r>
          </w:p>
        </w:tc>
        <w:tc>
          <w:tcPr>
            <w:tcW w:type="dxa" w:w="7128"/>
            <w:tcMar>
              <w:top w:w="65" w:type="dxa"/>
              <w:start w:w="0" w:type="dxa"/>
              <w:bottom w:w="65" w:type="dxa"/>
              <w:end w:w="80" w:type="dxa"/>
            </w:tcMar>
          </w:tcPr>
          <w:p>
            <w:pPr>
              <w:spacing w:after="0"/>
            </w:pPr>
            <w:r>
              <w:rPr>
                <w:rFonts w:ascii="Arial" w:hAnsi="Arial" w:eastAsia="Arial"/>
                <w:b w:val="0"/>
                <w:i w:val="0"/>
                <w:color w:val="000000"/>
                <w:sz w:val="19"/>
              </w:rPr>
              <w:t>23 October 2026</w:t>
            </w:r>
          </w:p>
        </w:tc>
      </w:tr>
      <w:tr>
        <w:trPr>
          <w:cantSplit/>
        </w:trPr>
        <w:tc>
          <w:tcPr>
            <w:tcW w:type="dxa" w:w="2232"/>
            <w:tcMar>
              <w:top w:w="65" w:type="dxa"/>
              <w:start w:w="0" w:type="dxa"/>
              <w:bottom w:w="65" w:type="dxa"/>
              <w:end w:w="80" w:type="dxa"/>
            </w:tcMar>
          </w:tcPr>
          <w:p>
            <w:pPr>
              <w:spacing w:after="0"/>
            </w:pPr>
            <w:r>
              <w:rPr>
                <w:rFonts w:ascii="Helvetica Neue" w:hAnsi="Helvetica Neue" w:eastAsia="Helvetica Neue"/>
                <w:b/>
                <w:i w:val="0"/>
                <w:color w:val="112075"/>
                <w:sz w:val="19"/>
              </w:rPr>
              <w:t>Scope</w:t>
            </w:r>
          </w:p>
        </w:tc>
        <w:tc>
          <w:tcPr>
            <w:tcW w:type="dxa" w:w="7128"/>
            <w:tcMar>
              <w:top w:w="65" w:type="dxa"/>
              <w:start w:w="0" w:type="dxa"/>
              <w:bottom w:w="65" w:type="dxa"/>
              <w:end w:w="80" w:type="dxa"/>
            </w:tcMar>
          </w:tcPr>
          <w:p>
            <w:pPr>
              <w:spacing w:after="0"/>
            </w:pPr>
            <w:r>
              <w:rPr>
                <w:rFonts w:ascii="Arial" w:hAnsi="Arial" w:eastAsia="Arial"/>
                <w:b w:val="0"/>
                <w:i w:val="0"/>
                <w:color w:val="000000"/>
                <w:sz w:val="19"/>
              </w:rPr>
              <w:t>AWS billing, live host utilization, and launch scenarios</w:t>
            </w:r>
          </w:p>
        </w:tc>
      </w:tr>
      <w:tr>
        <w:trPr>
          <w:cantSplit/>
        </w:trPr>
        <w:tc>
          <w:tcPr>
            <w:tcW w:type="dxa" w:w="2232"/>
            <w:tcMar>
              <w:top w:w="65" w:type="dxa"/>
              <w:start w:w="0" w:type="dxa"/>
              <w:bottom w:w="65" w:type="dxa"/>
              <w:end w:w="80" w:type="dxa"/>
            </w:tcMar>
          </w:tcPr>
          <w:p>
            <w:pPr>
              <w:spacing w:after="0"/>
            </w:pPr>
            <w:r>
              <w:rPr>
                <w:rFonts w:ascii="Helvetica Neue" w:hAnsi="Helvetica Neue" w:eastAsia="Helvetica Neue"/>
                <w:b/>
                <w:i w:val="0"/>
                <w:color w:val="112075"/>
                <w:sz w:val="19"/>
              </w:rPr>
              <w:t>Status</w:t>
            </w:r>
          </w:p>
        </w:tc>
        <w:tc>
          <w:tcPr>
            <w:tcW w:type="dxa" w:w="7128"/>
            <w:tcMar>
              <w:top w:w="65" w:type="dxa"/>
              <w:start w:w="0" w:type="dxa"/>
              <w:bottom w:w="65" w:type="dxa"/>
              <w:end w:w="80" w:type="dxa"/>
            </w:tcMar>
          </w:tcPr>
          <w:p>
            <w:pPr>
              <w:spacing w:after="0"/>
            </w:pPr>
            <w:r>
              <w:rPr>
                <w:rFonts w:ascii="Arial" w:hAnsi="Arial" w:eastAsia="Arial"/>
                <w:b w:val="0"/>
                <w:i w:val="0"/>
                <w:color w:val="000000"/>
                <w:sz w:val="19"/>
              </w:rPr>
              <w:t>FINAL · READ-ONLY INVESTIGATION</w:t>
            </w:r>
          </w:p>
        </w:tc>
      </w:tr>
    </w:tbl>
    <w:p>
      <w:pPr>
        <w:spacing w:after="0"/>
      </w:pPr>
      <w:r>
        <w:br w:type="page"/>
      </w:r>
    </w:p>
    <w:p>
      <w:pPr>
        <w:pStyle w:val="Heading1"/>
        <w:keepNext/>
        <w:spacing w:before="200" w:after="140"/>
      </w:pPr>
      <w:r>
        <w:rPr>
          <w:rFonts w:ascii="Helvetica Neue" w:hAnsi="Helvetica Neue" w:eastAsia="Helvetica Neue"/>
          <w:b/>
          <w:i w:val="0"/>
          <w:color w:val="112075"/>
          <w:sz w:val="30"/>
        </w:rPr>
        <w:t>1. Executive Summary</w:t>
      </w:r>
    </w:p>
    <w:tbl>
      <w:tblPr>
        <w:tblW w:type="auto" w:w="0"/>
        <w:jc w:val="center"/>
        <w:tblLayout w:type="fixed"/>
        <w:tblLook w:firstColumn="1" w:firstRow="1" w:lastColumn="0" w:lastRow="0" w:noHBand="0" w:noVBand="1" w:val="04A0"/>
      </w:tblPr>
      <w:tblGrid>
        <w:gridCol w:w="9360"/>
      </w:tblGrid>
      <w:tr>
        <w:tc>
          <w:tcPr>
            <w:tcW w:type="dxa" w:w="9360"/>
            <w:shd w:fill="EDF1F7"/>
            <w:tcMar>
              <w:top w:w="100" w:type="dxa"/>
              <w:start w:w="130" w:type="dxa"/>
              <w:bottom w:w="100" w:type="dxa"/>
              <w:end w:w="130" w:type="dxa"/>
            </w:tcMar>
          </w:tcPr>
          <w:p>
            <w:pPr>
              <w:spacing w:after="40"/>
            </w:pPr>
            <w:r>
              <w:rPr>
                <w:rFonts w:ascii="Helvetica Neue" w:hAnsi="Helvetica Neue" w:eastAsia="Helvetica Neue"/>
                <w:b/>
                <w:i w:val="0"/>
                <w:color w:val="112075"/>
                <w:sz w:val="19"/>
              </w:rPr>
              <w:t>Recommendation — RESIZE AFTER TESTING</w:t>
            </w:r>
          </w:p>
          <w:p>
            <w:pPr>
              <w:spacing w:after="0"/>
            </w:pPr>
            <w:r>
              <w:rPr>
                <w:rFonts w:ascii="Arial" w:hAnsi="Arial" w:eastAsia="Arial"/>
                <w:b w:val="0"/>
                <w:i w:val="0"/>
                <w:color w:val="000000"/>
                <w:sz w:val="18"/>
              </w:rPr>
              <w:t>Keep the current 8 GiB production host unchanged through the immediate campaign. Run a controlled full-pipeline upload, malware-scan, queue, database-backup and restore test; then evaluate a lower-cost 8 GiB hosting option. Do not move to 4 GiB based on CPU alone.</w:t>
            </w:r>
          </w:p>
        </w:tc>
      </w:tr>
    </w:tbl>
    <w:p>
      <w:pPr>
        <w:spacing w:after="0"/>
      </w:pPr>
    </w:p>
    <w:p>
      <w:pPr>
        <w:keepNext w:val="0"/>
        <w:widowControl/>
        <w:spacing w:before="0" w:after="80" w:line="247" w:lineRule="auto"/>
      </w:pPr>
      <w:r>
        <w:rPr>
          <w:rFonts w:ascii="Arial" w:hAnsi="Arial" w:eastAsia="Arial"/>
          <w:b w:val="0"/>
          <w:i w:val="0"/>
          <w:color w:val="000000"/>
          <w:sz w:val="19"/>
        </w:rPr>
        <w:t>AWS recorded $23.2819 of estimated October usage through 22 October. The account owes $0.00 because it is on the Free plan and the usage is currently covered by promotional credits. At the stable post-launch rate of $3.0860 per complete day, the environment forecasts to approximately $92.58 per 30 days.</w:t>
      </w:r>
    </w:p>
    <w:p>
      <w:pPr>
        <w:keepNext w:val="0"/>
        <w:widowControl/>
        <w:spacing w:before="0" w:after="80" w:line="247" w:lineRule="auto"/>
      </w:pPr>
      <w:r>
        <w:rPr>
          <w:rFonts w:ascii="Arial" w:hAnsi="Arial" w:eastAsia="Arial"/>
          <w:b w:val="0"/>
          <w:i w:val="0"/>
          <w:color w:val="000000"/>
          <w:sz w:val="19"/>
        </w:rPr>
        <w:t>The dominant expense is EC2 compute: $21.6657 month-to-date, 93.1% of all recorded usage, with an observed rate of $0.1197 per billed hour. Public IPv4 is the second-largest non-compute line at $0.9131; the 30 GiB gp3 root volume is third at $0.7008. All candidate-volume services combined—S3, SQS, SES, SNS and CloudWatch—are currently negligible.</w:t>
      </w:r>
    </w:p>
    <w:p>
      <w:pPr>
        <w:keepNext w:val="0"/>
        <w:widowControl/>
        <w:spacing w:before="0" w:after="80" w:line="247" w:lineRule="auto"/>
      </w:pPr>
      <w:r>
        <w:rPr>
          <w:rFonts w:ascii="Arial" w:hAnsi="Arial" w:eastAsia="Arial"/>
          <w:b w:val="0"/>
          <w:i w:val="0"/>
          <w:color w:val="000000"/>
          <w:sz w:val="19"/>
        </w:rPr>
        <w:t>Credit position: AWS shows $120.00 issued ($100 Free Tier plus a $20 AWS Budgets activity credit), $23.28 estimated used and $96.72 estimated remaining. At the measured steady rate, the credits last about 31.3 days from the observation date, implying exhaustion around 23–24 November 2026 if usage remains unchanged. This occurs well before the displayed Free-plan end date of 12 April 2027 and the credit expiry dates in October 2027.</w:t>
      </w:r>
    </w:p>
    <w:p>
      <w:pPr>
        <w:keepNext w:val="0"/>
        <w:widowControl/>
        <w:spacing w:before="0" w:after="80" w:line="247" w:lineRule="auto"/>
      </w:pPr>
      <w:r>
        <w:rPr>
          <w:rFonts w:ascii="Arial" w:hAnsi="Arial" w:eastAsia="Arial"/>
          <w:b w:val="0"/>
          <w:i w:val="0"/>
          <w:color w:val="000000"/>
          <w:sz w:val="19"/>
        </w:rPr>
        <w:t>Capacity position: the m7i-flex.large has 2 vCPU and 8 GiB RAM. Seven-day CPU averaged 6.21% and peaked at 10.42%. Historical host memory peaked at 1.817 GiB actively used, with at least 5.49 GiB available; disk is 47% used. ClamAV alone uses about 1.04 GiB and there is no swap. The host is underused at current traffic, but a smaller-memory host is not justified without concurrent-upload and backup/restore evidence.</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655"/>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Decision metric</w:t>
            </w:r>
          </w:p>
        </w:tc>
        <w:tc>
          <w:tcPr>
            <w:tcW w:type="dxa" w:w="2951"/>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Verified / estimated result</w:t>
            </w:r>
          </w:p>
        </w:tc>
        <w:tc>
          <w:tcPr>
            <w:tcW w:type="dxa" w:w="4752"/>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Manager meaning</w:t>
            </w:r>
          </w:p>
        </w:tc>
      </w:tr>
      <w:tr>
        <w:trPr>
          <w:cantSplit/>
        </w:trPr>
        <w:tc>
          <w:tcPr>
            <w:tcW w:type="dxa" w:w="165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$23.2819</w:t>
            </w:r>
          </w:p>
        </w:tc>
        <w:tc>
          <w:tcPr>
            <w:tcW w:type="dxa" w:w="295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Estimated AWS usage, Oct 1–23 UTC</w:t>
            </w:r>
          </w:p>
        </w:tc>
        <w:tc>
          <w:tcPr>
            <w:tcW w:type="dxa" w:w="475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Covered by credits; not a finalized invoice</w:t>
            </w:r>
          </w:p>
        </w:tc>
      </w:tr>
      <w:tr>
        <w:trPr>
          <w:cantSplit/>
        </w:trPr>
        <w:tc>
          <w:tcPr>
            <w:tcW w:type="dxa" w:w="165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$92.58</w:t>
            </w:r>
          </w:p>
        </w:tc>
        <w:tc>
          <w:tcPr>
            <w:tcW w:type="dxa" w:w="295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30-day forecast at stable usage</w:t>
            </w:r>
          </w:p>
        </w:tc>
        <w:tc>
          <w:tcPr>
            <w:tcW w:type="dxa" w:w="475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Mostly fixed hosting, not candidate traffic</w:t>
            </w:r>
          </w:p>
        </w:tc>
      </w:tr>
      <w:tr>
        <w:trPr>
          <w:cantSplit/>
        </w:trPr>
        <w:tc>
          <w:tcPr>
            <w:tcW w:type="dxa" w:w="165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$96.72</w:t>
            </w:r>
          </w:p>
        </w:tc>
        <w:tc>
          <w:tcPr>
            <w:tcW w:type="dxa" w:w="295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Estimated promotional credits remaining</w:t>
            </w:r>
          </w:p>
        </w:tc>
        <w:tc>
          <w:tcPr>
            <w:tcW w:type="dxa" w:w="475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Approximately 31 days at the stable rate</w:t>
            </w:r>
          </w:p>
        </w:tc>
      </w:tr>
      <w:tr>
        <w:trPr>
          <w:cantSplit/>
        </w:trPr>
        <w:tc>
          <w:tcPr>
            <w:tcW w:type="dxa" w:w="165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$21.6657</w:t>
            </w:r>
          </w:p>
        </w:tc>
        <w:tc>
          <w:tcPr>
            <w:tcW w:type="dxa" w:w="295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EC2 compute month-to-date</w:t>
            </w:r>
          </w:p>
        </w:tc>
        <w:tc>
          <w:tcPr>
            <w:tcW w:type="dxa" w:w="475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Largest expense; 93.1% of usage</w:t>
            </w:r>
          </w:p>
        </w:tc>
      </w:tr>
      <w:tr>
        <w:trPr>
          <w:cantSplit/>
        </w:trPr>
        <w:tc>
          <w:tcPr>
            <w:tcW w:type="dxa" w:w="165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6.21% / 10.42%</w:t>
            </w:r>
          </w:p>
        </w:tc>
        <w:tc>
          <w:tcPr>
            <w:tcW w:type="dxa" w:w="295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Average / peak CPU over seven days</w:t>
            </w:r>
          </w:p>
        </w:tc>
        <w:tc>
          <w:tcPr>
            <w:tcW w:type="dxa" w:w="475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Compute demand is low today</w:t>
            </w:r>
          </w:p>
        </w:tc>
      </w:tr>
    </w:tbl>
    <w:p>
      <w:pPr>
        <w:spacing w:after="0"/>
      </w:pPr>
    </w:p>
    <w:p>
      <w:pPr>
        <w:spacing w:before="20" w:after="100"/>
      </w:pPr>
      <w:r>
        <w:rPr>
          <w:rFonts w:ascii="Helvetica Neue" w:hAnsi="Helvetica Neue" w:eastAsia="Helvetica Neue"/>
          <w:b w:val="0"/>
          <w:i/>
          <w:color w:val="666666"/>
          <w:sz w:val="16"/>
        </w:rPr>
        <w:t>Status: verified where stated; forecasts are arithmetic projections, not AWS invoices or capacity guarantees.</w:t>
      </w:r>
    </w:p>
    <w:p>
      <w:pPr>
        <w:spacing w:after="0"/>
      </w:pPr>
      <w:r>
        <w:br w:type="page"/>
      </w:r>
    </w:p>
    <w:p>
      <w:pPr>
        <w:pStyle w:val="Heading1"/>
        <w:keepNext/>
        <w:spacing w:before="200" w:after="140"/>
      </w:pPr>
      <w:r>
        <w:rPr>
          <w:rFonts w:ascii="Helvetica Neue" w:hAnsi="Helvetica Neue" w:eastAsia="Helvetica Neue"/>
          <w:b/>
          <w:i w:val="0"/>
          <w:color w:val="112075"/>
          <w:sz w:val="30"/>
        </w:rPr>
        <w:t>2. Verified AWS Account and Credit Position</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232"/>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Item</w:t>
            </w:r>
          </w:p>
        </w:tc>
        <w:tc>
          <w:tcPr>
            <w:tcW w:type="dxa" w:w="2376"/>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Verified value</w:t>
            </w:r>
          </w:p>
        </w:tc>
        <w:tc>
          <w:tcPr>
            <w:tcW w:type="dxa" w:w="4752"/>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Evidence / status</w:t>
            </w:r>
          </w:p>
        </w:tc>
      </w:tr>
      <w:tr>
        <w:trPr>
          <w:cantSplit/>
        </w:trPr>
        <w:tc>
          <w:tcPr>
            <w:tcW w:type="dxa" w:w="223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AWS account</w:t>
            </w:r>
          </w:p>
        </w:tc>
        <w:tc>
          <w:tcPr>
            <w:tcW w:type="dxa" w:w="237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431988153216</w:t>
            </w:r>
          </w:p>
        </w:tc>
        <w:tc>
          <w:tcPr>
            <w:tcW w:type="dxa" w:w="475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STS identity and Billing Console; observed 23 Oct 2026</w:t>
            </w:r>
          </w:p>
        </w:tc>
      </w:tr>
      <w:tr>
        <w:trPr>
          <w:cantSplit/>
        </w:trPr>
        <w:tc>
          <w:tcPr>
            <w:tcW w:type="dxa" w:w="223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Primary region</w:t>
            </w:r>
          </w:p>
        </w:tc>
        <w:tc>
          <w:tcPr>
            <w:tcW w:type="dxa" w:w="237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ap-southeast-2 (Sydney)</w:t>
            </w:r>
          </w:p>
        </w:tc>
        <w:tc>
          <w:tcPr>
            <w:tcW w:type="dxa" w:w="475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EC2, EBS, S3 and queue configuration</w:t>
            </w:r>
          </w:p>
        </w:tc>
      </w:tr>
      <w:tr>
        <w:trPr>
          <w:cantSplit/>
        </w:trPr>
        <w:tc>
          <w:tcPr>
            <w:tcW w:type="dxa" w:w="223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Current account plan</w:t>
            </w:r>
          </w:p>
        </w:tc>
        <w:tc>
          <w:tcPr>
            <w:tcW w:type="dxa" w:w="237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Free</w:t>
            </w:r>
          </w:p>
        </w:tc>
        <w:tc>
          <w:tcPr>
            <w:tcW w:type="dxa" w:w="475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AWS Settings → Billing; 173 days remaining</w:t>
            </w:r>
          </w:p>
        </w:tc>
      </w:tr>
      <w:tr>
        <w:trPr>
          <w:cantSplit/>
        </w:trPr>
        <w:tc>
          <w:tcPr>
            <w:tcW w:type="dxa" w:w="223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Displayed plan end</w:t>
            </w:r>
          </w:p>
        </w:tc>
        <w:tc>
          <w:tcPr>
            <w:tcW w:type="dxa" w:w="237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12 Apr 2027</w:t>
            </w:r>
          </w:p>
        </w:tc>
        <w:tc>
          <w:tcPr>
            <w:tcW w:type="dxa" w:w="475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AWS console display; separate from credit expiry</w:t>
            </w:r>
          </w:p>
        </w:tc>
      </w:tr>
      <w:tr>
        <w:trPr>
          <w:cantSplit/>
        </w:trPr>
        <w:tc>
          <w:tcPr>
            <w:tcW w:type="dxa" w:w="223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Balance due</w:t>
            </w:r>
          </w:p>
        </w:tc>
        <w:tc>
          <w:tcPr>
            <w:tcW w:type="dxa" w:w="237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$0.00</w:t>
            </w:r>
          </w:p>
        </w:tc>
        <w:tc>
          <w:tcPr>
            <w:tcW w:type="dxa" w:w="475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AWS console: no charges while on Free plan</w:t>
            </w:r>
          </w:p>
        </w:tc>
      </w:tr>
      <w:tr>
        <w:trPr>
          <w:cantSplit/>
        </w:trPr>
        <w:tc>
          <w:tcPr>
            <w:tcW w:type="dxa" w:w="223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Credits issued</w:t>
            </w:r>
          </w:p>
        </w:tc>
        <w:tc>
          <w:tcPr>
            <w:tcW w:type="dxa" w:w="237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$120.00</w:t>
            </w:r>
          </w:p>
        </w:tc>
        <w:tc>
          <w:tcPr>
            <w:tcW w:type="dxa" w:w="475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$100 Free Tier + $20 AWS Budgets activity credit</w:t>
            </w:r>
          </w:p>
        </w:tc>
      </w:tr>
      <w:tr>
        <w:trPr>
          <w:cantSplit/>
        </w:trPr>
        <w:tc>
          <w:tcPr>
            <w:tcW w:type="dxa" w:w="223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Estimated credits used</w:t>
            </w:r>
          </w:p>
        </w:tc>
        <w:tc>
          <w:tcPr>
            <w:tcW w:type="dxa" w:w="237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$23.28</w:t>
            </w:r>
          </w:p>
        </w:tc>
        <w:tc>
          <w:tcPr>
            <w:tcW w:type="dxa" w:w="475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Updates approximately every 24 hours</w:t>
            </w:r>
          </w:p>
        </w:tc>
      </w:tr>
      <w:tr>
        <w:trPr>
          <w:cantSplit/>
        </w:trPr>
        <w:tc>
          <w:tcPr>
            <w:tcW w:type="dxa" w:w="223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Estimated credits remaining</w:t>
            </w:r>
          </w:p>
        </w:tc>
        <w:tc>
          <w:tcPr>
            <w:tcW w:type="dxa" w:w="237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$96.72</w:t>
            </w:r>
          </w:p>
        </w:tc>
        <w:tc>
          <w:tcPr>
            <w:tcW w:type="dxa" w:w="475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Includes both active credits</w:t>
            </w:r>
          </w:p>
        </w:tc>
      </w:tr>
      <w:tr>
        <w:trPr>
          <w:cantSplit/>
        </w:trPr>
        <w:tc>
          <w:tcPr>
            <w:tcW w:type="dxa" w:w="223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Finalized used / remaining</w:t>
            </w:r>
          </w:p>
        </w:tc>
        <w:tc>
          <w:tcPr>
            <w:tcW w:type="dxa" w:w="237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$0.00 / $120.00</w:t>
            </w:r>
          </w:p>
        </w:tc>
        <w:tc>
          <w:tcPr>
            <w:tcW w:type="dxa" w:w="475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October invoice not finalized</w:t>
            </w:r>
          </w:p>
        </w:tc>
      </w:tr>
    </w:tbl>
    <w:p>
      <w:pPr>
        <w:spacing w:after="0"/>
      </w:pPr>
    </w:p>
    <w:p>
      <w:pPr>
        <w:pStyle w:val="Heading2"/>
        <w:keepNext/>
        <w:spacing w:before="160" w:after="80"/>
      </w:pPr>
      <w:r>
        <w:rPr>
          <w:rFonts w:ascii="Helvetica Neue" w:hAnsi="Helvetica Neue" w:eastAsia="Helvetica Neue"/>
          <w:b/>
          <w:i w:val="0"/>
          <w:color w:val="112075"/>
          <w:sz w:val="22"/>
        </w:rPr>
        <w:t>2.1 Credit Records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2232"/>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4"/>
              </w:rPr>
              <w:t>Credit</w:t>
            </w:r>
          </w:p>
        </w:tc>
        <w:tc>
          <w:tcPr>
            <w:tcW w:type="dxa" w:w="1036"/>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4"/>
              </w:rPr>
              <w:t>Issued</w:t>
            </w:r>
          </w:p>
        </w:tc>
        <w:tc>
          <w:tcPr>
            <w:tcW w:type="dxa" w:w="1296"/>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4"/>
              </w:rPr>
              <w:t>Starts</w:t>
            </w:r>
          </w:p>
        </w:tc>
        <w:tc>
          <w:tcPr>
            <w:tcW w:type="dxa" w:w="1655"/>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4"/>
              </w:rPr>
              <w:t>Expires</w:t>
            </w:r>
          </w:p>
        </w:tc>
        <w:tc>
          <w:tcPr>
            <w:tcW w:type="dxa" w:w="1483"/>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4"/>
              </w:rPr>
              <w:t>Estimated used</w:t>
            </w:r>
          </w:p>
        </w:tc>
        <w:tc>
          <w:tcPr>
            <w:tcW w:type="dxa" w:w="1655"/>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4"/>
              </w:rPr>
              <w:t>Estimated remaining</w:t>
            </w:r>
          </w:p>
        </w:tc>
      </w:tr>
      <w:tr>
        <w:trPr>
          <w:cantSplit/>
        </w:trPr>
        <w:tc>
          <w:tcPr>
            <w:tcW w:type="dxa" w:w="223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AWS Free Tier</w:t>
            </w:r>
          </w:p>
        </w:tc>
        <w:tc>
          <w:tcPr>
            <w:tcW w:type="dxa" w:w="103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$100.00</w:t>
            </w:r>
          </w:p>
        </w:tc>
        <w:tc>
          <w:tcPr>
            <w:tcW w:type="dxa" w:w="129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12 Oct 2026</w:t>
            </w:r>
          </w:p>
        </w:tc>
        <w:tc>
          <w:tcPr>
            <w:tcW w:type="dxa" w:w="165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12 Oct 2027 12:01 UTC</w:t>
            </w:r>
          </w:p>
        </w:tc>
        <w:tc>
          <w:tcPr>
            <w:tcW w:type="dxa" w:w="1483"/>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$23.28</w:t>
            </w:r>
          </w:p>
        </w:tc>
        <w:tc>
          <w:tcPr>
            <w:tcW w:type="dxa" w:w="165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$76.72</w:t>
            </w:r>
          </w:p>
        </w:tc>
      </w:tr>
      <w:tr>
        <w:trPr>
          <w:cantSplit/>
        </w:trPr>
        <w:tc>
          <w:tcPr>
            <w:tcW w:type="dxa" w:w="223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Explore AWS: set up a cost budget</w:t>
            </w:r>
          </w:p>
        </w:tc>
        <w:tc>
          <w:tcPr>
            <w:tcW w:type="dxa" w:w="103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$20.00</w:t>
            </w:r>
          </w:p>
        </w:tc>
        <w:tc>
          <w:tcPr>
            <w:tcW w:type="dxa" w:w="129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15 Oct 2026</w:t>
            </w:r>
          </w:p>
        </w:tc>
        <w:tc>
          <w:tcPr>
            <w:tcW w:type="dxa" w:w="165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12 Oct 2027 12:02 UTC</w:t>
            </w:r>
          </w:p>
        </w:tc>
        <w:tc>
          <w:tcPr>
            <w:tcW w:type="dxa" w:w="1483"/>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w:t>
            </w:r>
          </w:p>
        </w:tc>
        <w:tc>
          <w:tcPr>
            <w:tcW w:type="dxa" w:w="165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$20.00</w:t>
            </w:r>
          </w:p>
        </w:tc>
      </w:tr>
    </w:tbl>
    <w:p>
      <w:pPr>
        <w:spacing w:after="0"/>
      </w:pPr>
    </w:p>
    <w:p>
      <w:pPr>
        <w:keepNext w:val="0"/>
        <w:widowControl/>
        <w:spacing w:before="0" w:after="80" w:line="247" w:lineRule="auto"/>
      </w:pPr>
      <w:r>
        <w:rPr>
          <w:rFonts w:ascii="Arial" w:hAnsi="Arial" w:eastAsia="Arial"/>
          <w:b w:val="0"/>
          <w:i w:val="0"/>
          <w:color w:val="000000"/>
          <w:sz w:val="19"/>
        </w:rPr>
        <w:t>Original allocation available in the credit ledger is $120.00. AWS advertises that a new account may earn up to $200 in total, but only the two credit records above were actually issued to this account as of the observation. No unissued promotional amount is included in runway calculations.</w:t>
      </w:r>
    </w:p>
    <w:p>
      <w:pPr>
        <w:pStyle w:val="Heading2"/>
        <w:keepNext/>
        <w:spacing w:before="160" w:after="80"/>
      </w:pPr>
      <w:r>
        <w:rPr>
          <w:rFonts w:ascii="Helvetica Neue" w:hAnsi="Helvetica Neue" w:eastAsia="Helvetica Neue"/>
          <w:b/>
          <w:i w:val="0"/>
          <w:color w:val="112075"/>
          <w:sz w:val="22"/>
        </w:rPr>
        <w:t>2.2 Billing Finality and Gaps</w:t>
      </w:r>
    </w:p>
    <w:p>
      <w:pPr>
        <w:spacing w:after="40"/>
        <w:ind w:left="360" w:hanging="230"/>
      </w:pPr>
      <w:r>
        <w:rPr>
          <w:rFonts w:ascii="Arial" w:hAnsi="Arial" w:eastAsia="Arial"/>
          <w:b w:val="0"/>
          <w:i w:val="0"/>
          <w:color w:val="000000"/>
          <w:sz w:val="18"/>
        </w:rPr>
        <w:t>•  Cost Explorer labels current-period values as estimated. Usage after the view time may be absent; credits update about daily and finalized amounts update after the monthly invoice.</w:t>
      </w:r>
    </w:p>
    <w:p>
      <w:pPr>
        <w:spacing w:after="40"/>
        <w:ind w:left="360" w:hanging="230"/>
      </w:pPr>
      <w:r>
        <w:rPr>
          <w:rFonts w:ascii="Arial" w:hAnsi="Arial" w:eastAsia="Arial"/>
          <w:b w:val="0"/>
          <w:i w:val="0"/>
          <w:color w:val="000000"/>
          <w:sz w:val="18"/>
        </w:rPr>
        <w:t>•  The Free-plan Bills route did not expose a separate finalized October invoice. Cost Explorer, the credit ledger and AWS Settings supplied the official evidence used here.</w:t>
      </w:r>
    </w:p>
    <w:p>
      <w:pPr>
        <w:spacing w:after="40"/>
        <w:ind w:left="360" w:hanging="230"/>
      </w:pPr>
      <w:r>
        <w:rPr>
          <w:rFonts w:ascii="Arial" w:hAnsi="Arial" w:eastAsia="Arial"/>
          <w:b w:val="0"/>
          <w:i w:val="0"/>
          <w:color w:val="000000"/>
          <w:sz w:val="18"/>
        </w:rPr>
        <w:t>•  No tax, uncovered charge or non-credit-eligible expense was visible. The console showed all usage covered and $0.00 due. This is a point-in-time result, not a guarantee for future paid-plan usage.</w:t>
      </w:r>
    </w:p>
    <w:p>
      <w:pPr>
        <w:spacing w:after="40"/>
        <w:ind w:left="360" w:hanging="230"/>
      </w:pPr>
      <w:r>
        <w:rPr>
          <w:rFonts w:ascii="Arial" w:hAnsi="Arial" w:eastAsia="Arial"/>
          <w:b w:val="0"/>
          <w:i w:val="0"/>
          <w:color w:val="000000"/>
          <w:sz w:val="18"/>
        </w:rPr>
        <w:t>•  Cost Explorer was queried with credits and refunds excluded, using unblended cost, to avoid double-counting promotional credits against service charges.</w:t>
      </w:r>
    </w:p>
    <w:p>
      <w:pPr>
        <w:spacing w:after="0"/>
      </w:pPr>
      <w:r>
        <w:br w:type="page"/>
      </w:r>
    </w:p>
    <w:p>
      <w:pPr>
        <w:pStyle w:val="Heading1"/>
        <w:keepNext/>
        <w:spacing w:before="200" w:after="140"/>
      </w:pPr>
      <w:r>
        <w:rPr>
          <w:rFonts w:ascii="Helvetica Neue" w:hAnsi="Helvetica Neue" w:eastAsia="Helvetica Neue"/>
          <w:b/>
          <w:i w:val="0"/>
          <w:color w:val="112075"/>
          <w:sz w:val="30"/>
        </w:rPr>
        <w:t>3. Actual Charges and 30-Day Forecast</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756"/>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Service / category</w:t>
            </w:r>
          </w:p>
        </w:tc>
        <w:tc>
          <w:tcPr>
            <w:tcW w:type="dxa" w:w="1267"/>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Oct MTD actual</w:t>
            </w:r>
          </w:p>
        </w:tc>
        <w:tc>
          <w:tcPr>
            <w:tcW w:type="dxa" w:w="2649"/>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Measured basis</w:t>
            </w:r>
          </w:p>
        </w:tc>
        <w:tc>
          <w:tcPr>
            <w:tcW w:type="dxa" w:w="146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30-day forecast</w:t>
            </w:r>
          </w:p>
        </w:tc>
        <w:tc>
          <w:tcPr>
            <w:tcW w:type="dxa" w:w="2217"/>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Cost behavior</w:t>
            </w:r>
          </w:p>
        </w:tc>
      </w:tr>
      <w:tr>
        <w:trPr>
          <w:cantSplit/>
        </w:trPr>
        <w:tc>
          <w:tcPr>
            <w:tcW w:type="dxa" w:w="17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EC2 compute</w:t>
            </w:r>
          </w:p>
        </w:tc>
        <w:tc>
          <w:tcPr>
            <w:tcW w:type="dxa" w:w="126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$21.6657</w:t>
            </w:r>
          </w:p>
        </w:tc>
        <w:tc>
          <w:tcPr>
            <w:tcW w:type="dxa" w:w="2649"/>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m7i-flex.large; ~181 billed hours</w:t>
            </w:r>
          </w:p>
        </w:tc>
        <w:tc>
          <w:tcPr>
            <w:tcW w:type="dxa" w:w="14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$86.18</w:t>
            </w:r>
          </w:p>
        </w:tc>
        <w:tc>
          <w:tcPr>
            <w:tcW w:type="dxa" w:w="221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Fixed while running</w:t>
            </w:r>
          </w:p>
        </w:tc>
      </w:tr>
      <w:tr>
        <w:trPr>
          <w:cantSplit/>
        </w:trPr>
        <w:tc>
          <w:tcPr>
            <w:tcW w:type="dxa" w:w="175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Public IPv4 / VPC</w:t>
            </w:r>
          </w:p>
        </w:tc>
        <w:tc>
          <w:tcPr>
            <w:tcW w:type="dxa" w:w="126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$0.9131</w:t>
            </w:r>
          </w:p>
        </w:tc>
        <w:tc>
          <w:tcPr>
            <w:tcW w:type="dxa" w:w="2649"/>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1 in-use address; $0.005/hour</w:t>
            </w:r>
          </w:p>
        </w:tc>
        <w:tc>
          <w:tcPr>
            <w:tcW w:type="dxa" w:w="14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$3.60</w:t>
            </w:r>
          </w:p>
        </w:tc>
        <w:tc>
          <w:tcPr>
            <w:tcW w:type="dxa" w:w="221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Fixed while assigned</w:t>
            </w:r>
          </w:p>
        </w:tc>
      </w:tr>
      <w:tr>
        <w:trPr>
          <w:cantSplit/>
        </w:trPr>
        <w:tc>
          <w:tcPr>
            <w:tcW w:type="dxa" w:w="17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EBS + tiny transfer</w:t>
            </w:r>
          </w:p>
        </w:tc>
        <w:tc>
          <w:tcPr>
            <w:tcW w:type="dxa" w:w="126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$0.7008</w:t>
            </w:r>
          </w:p>
        </w:tc>
        <w:tc>
          <w:tcPr>
            <w:tcW w:type="dxa" w:w="2649"/>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30 GiB gp3 + ≤$0.00012 transfer</w:t>
            </w:r>
          </w:p>
        </w:tc>
        <w:tc>
          <w:tcPr>
            <w:tcW w:type="dxa" w:w="14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$2.79</w:t>
            </w:r>
          </w:p>
        </w:tc>
        <w:tc>
          <w:tcPr>
            <w:tcW w:type="dxa" w:w="221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Fixed storage; transfer variable</w:t>
            </w:r>
          </w:p>
        </w:tc>
      </w:tr>
      <w:tr>
        <w:trPr>
          <w:cantSplit/>
        </w:trPr>
        <w:tc>
          <w:tcPr>
            <w:tcW w:type="dxa" w:w="175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SES</w:t>
            </w:r>
          </w:p>
        </w:tc>
        <w:tc>
          <w:tcPr>
            <w:tcW w:type="dxa" w:w="126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$0.0016</w:t>
            </w:r>
          </w:p>
        </w:tc>
        <w:tc>
          <w:tcPr>
            <w:tcW w:type="dxa" w:w="2649"/>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Outbound email usage</w:t>
            </w:r>
          </w:p>
        </w:tc>
        <w:tc>
          <w:tcPr>
            <w:tcW w:type="dxa" w:w="14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~$0.01</w:t>
            </w:r>
          </w:p>
        </w:tc>
        <w:tc>
          <w:tcPr>
            <w:tcW w:type="dxa" w:w="221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Traffic-dependent</w:t>
            </w:r>
          </w:p>
        </w:tc>
      </w:tr>
      <w:tr>
        <w:trPr>
          <w:cantSplit/>
        </w:trPr>
        <w:tc>
          <w:tcPr>
            <w:tcW w:type="dxa" w:w="17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S3</w:t>
            </w:r>
          </w:p>
        </w:tc>
        <w:tc>
          <w:tcPr>
            <w:tcW w:type="dxa" w:w="126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$0.0007</w:t>
            </w:r>
          </w:p>
        </w:tc>
        <w:tc>
          <w:tcPr>
            <w:tcW w:type="dxa" w:w="2649"/>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Requests/storage for 19 objects, 2.91 MiB</w:t>
            </w:r>
          </w:p>
        </w:tc>
        <w:tc>
          <w:tcPr>
            <w:tcW w:type="dxa" w:w="14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~$0.01</w:t>
            </w:r>
          </w:p>
        </w:tc>
        <w:tc>
          <w:tcPr>
            <w:tcW w:type="dxa" w:w="221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Traffic/retention-dependent</w:t>
            </w:r>
          </w:p>
        </w:tc>
      </w:tr>
      <w:tr>
        <w:trPr>
          <w:cantSplit/>
        </w:trPr>
        <w:tc>
          <w:tcPr>
            <w:tcW w:type="dxa" w:w="175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Secrets Manager</w:t>
            </w:r>
          </w:p>
        </w:tc>
        <w:tc>
          <w:tcPr>
            <w:tcW w:type="dxa" w:w="126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$0.000015</w:t>
            </w:r>
          </w:p>
        </w:tc>
        <w:tc>
          <w:tcPr>
            <w:tcW w:type="dxa" w:w="2649"/>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Minor usage line</w:t>
            </w:r>
          </w:p>
        </w:tc>
        <w:tc>
          <w:tcPr>
            <w:tcW w:type="dxa" w:w="14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w:t>
            </w:r>
          </w:p>
        </w:tc>
        <w:tc>
          <w:tcPr>
            <w:tcW w:type="dxa" w:w="221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Mostly fixed/usage</w:t>
            </w:r>
          </w:p>
        </w:tc>
      </w:tr>
      <w:tr>
        <w:trPr>
          <w:cantSplit/>
        </w:trPr>
        <w:tc>
          <w:tcPr>
            <w:tcW w:type="dxa" w:w="17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SQS</w:t>
            </w:r>
          </w:p>
        </w:tc>
        <w:tc>
          <w:tcPr>
            <w:tcW w:type="dxa" w:w="126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$0.0000</w:t>
            </w:r>
          </w:p>
        </w:tc>
        <w:tc>
          <w:tcPr>
            <w:tcW w:type="dxa" w:w="2649"/>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Primary + DLQ, both empty</w:t>
            </w:r>
          </w:p>
        </w:tc>
        <w:tc>
          <w:tcPr>
            <w:tcW w:type="dxa" w:w="14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$0.00 at current scale</w:t>
            </w:r>
          </w:p>
        </w:tc>
        <w:tc>
          <w:tcPr>
            <w:tcW w:type="dxa" w:w="221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Traffic-dependent</w:t>
            </w:r>
          </w:p>
        </w:tc>
      </w:tr>
      <w:tr>
        <w:trPr>
          <w:cantSplit/>
        </w:trPr>
        <w:tc>
          <w:tcPr>
            <w:tcW w:type="dxa" w:w="175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SNS + CloudWatch</w:t>
            </w:r>
          </w:p>
        </w:tc>
        <w:tc>
          <w:tcPr>
            <w:tcW w:type="dxa" w:w="126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$0.0000</w:t>
            </w:r>
          </w:p>
        </w:tc>
        <w:tc>
          <w:tcPr>
            <w:tcW w:type="dxa" w:w="2649"/>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No billed usage</w:t>
            </w:r>
          </w:p>
        </w:tc>
        <w:tc>
          <w:tcPr>
            <w:tcW w:type="dxa" w:w="14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 at current scale</w:t>
            </w:r>
          </w:p>
        </w:tc>
        <w:tc>
          <w:tcPr>
            <w:tcW w:type="dxa" w:w="221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Traffic/metrics-dependent</w:t>
            </w:r>
          </w:p>
        </w:tc>
      </w:tr>
      <w:tr>
        <w:trPr>
          <w:cantSplit/>
        </w:trPr>
        <w:tc>
          <w:tcPr>
            <w:tcW w:type="dxa" w:w="17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Total</w:t>
            </w:r>
          </w:p>
        </w:tc>
        <w:tc>
          <w:tcPr>
            <w:tcW w:type="dxa" w:w="126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$23.2819</w:t>
            </w:r>
          </w:p>
        </w:tc>
        <w:tc>
          <w:tcPr>
            <w:tcW w:type="dxa" w:w="2649"/>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Cost Explorer, Oct 1–23 UTC</w:t>
            </w:r>
          </w:p>
        </w:tc>
        <w:tc>
          <w:tcPr>
            <w:tcW w:type="dxa" w:w="14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$92.58</w:t>
            </w:r>
          </w:p>
        </w:tc>
        <w:tc>
          <w:tcPr>
            <w:tcW w:type="dxa" w:w="221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Predominantly fixed</w:t>
            </w:r>
          </w:p>
        </w:tc>
      </w:tr>
    </w:tbl>
    <w:p>
      <w:pPr>
        <w:spacing w:after="0"/>
      </w:pPr>
    </w:p>
    <w:p>
      <w:pPr>
        <w:spacing w:before="20" w:after="100"/>
      </w:pPr>
      <w:r>
        <w:rPr>
          <w:rFonts w:ascii="Helvetica Neue" w:hAnsi="Helvetica Neue" w:eastAsia="Helvetica Neue"/>
          <w:b w:val="0"/>
          <w:i/>
          <w:color w:val="666666"/>
          <w:sz w:val="16"/>
        </w:rPr>
        <w:t>Actuals are official AWS Cost Explorer estimated unblended costs observed 23 Oct 2026. Forecast uses the six complete stable days, 16–21 Oct, averaging $3.08596/day.</w:t>
      </w:r>
    </w:p>
    <w:p>
      <w:pPr>
        <w:pStyle w:val="Heading2"/>
        <w:keepNext/>
        <w:spacing w:before="160" w:after="80"/>
      </w:pPr>
      <w:r>
        <w:rPr>
          <w:rFonts w:ascii="Helvetica Neue" w:hAnsi="Helvetica Neue" w:eastAsia="Helvetica Neue"/>
          <w:b/>
          <w:i w:val="0"/>
          <w:color w:val="112075"/>
          <w:sz w:val="22"/>
        </w:rPr>
        <w:t>3.1 Daily Costs Over Available History</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72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UTC date</w:t>
            </w:r>
          </w:p>
        </w:tc>
        <w:tc>
          <w:tcPr>
            <w:tcW w:type="dxa" w:w="1584"/>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Total cost</w:t>
            </w:r>
          </w:p>
        </w:tc>
        <w:tc>
          <w:tcPr>
            <w:tcW w:type="dxa" w:w="604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Interpretation</w:t>
            </w:r>
          </w:p>
        </w:tc>
      </w:tr>
      <w:tr>
        <w:trPr>
          <w:cantSplit/>
        </w:trPr>
        <w:tc>
          <w:tcPr>
            <w:tcW w:type="dxa" w:w="172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1–14 Oct</w:t>
            </w:r>
          </w:p>
        </w:tc>
        <w:tc>
          <w:tcPr>
            <w:tcW w:type="dxa" w:w="158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$0.0000/day</w:t>
            </w:r>
          </w:p>
        </w:tc>
        <w:tc>
          <w:tcPr>
            <w:tcW w:type="dxa" w:w="604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No recorded service cost before launch</w:t>
            </w:r>
          </w:p>
        </w:tc>
      </w:tr>
      <w:tr>
        <w:trPr>
          <w:cantSplit/>
        </w:trPr>
        <w:tc>
          <w:tcPr>
            <w:tcW w:type="dxa" w:w="172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15 Oct</w:t>
            </w:r>
          </w:p>
        </w:tc>
        <w:tc>
          <w:tcPr>
            <w:tcW w:type="dxa" w:w="158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$2.1388</w:t>
            </w:r>
          </w:p>
        </w:tc>
        <w:tc>
          <w:tcPr>
            <w:tcW w:type="dxa" w:w="604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Partial launch day</w:t>
            </w:r>
          </w:p>
        </w:tc>
      </w:tr>
      <w:tr>
        <w:trPr>
          <w:cantSplit/>
        </w:trPr>
        <w:tc>
          <w:tcPr>
            <w:tcW w:type="dxa" w:w="172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16 Oct</w:t>
            </w:r>
          </w:p>
        </w:tc>
        <w:tc>
          <w:tcPr>
            <w:tcW w:type="dxa" w:w="158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$3.0865</w:t>
            </w:r>
          </w:p>
        </w:tc>
        <w:tc>
          <w:tcPr>
            <w:tcW w:type="dxa" w:w="604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Complete operating day</w:t>
            </w:r>
          </w:p>
        </w:tc>
      </w:tr>
      <w:tr>
        <w:trPr>
          <w:cantSplit/>
        </w:trPr>
        <w:tc>
          <w:tcPr>
            <w:tcW w:type="dxa" w:w="172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17 Oct</w:t>
            </w:r>
          </w:p>
        </w:tc>
        <w:tc>
          <w:tcPr>
            <w:tcW w:type="dxa" w:w="158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$3.0857</w:t>
            </w:r>
          </w:p>
        </w:tc>
        <w:tc>
          <w:tcPr>
            <w:tcW w:type="dxa" w:w="604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Complete operating day</w:t>
            </w:r>
          </w:p>
        </w:tc>
      </w:tr>
      <w:tr>
        <w:trPr>
          <w:cantSplit/>
        </w:trPr>
        <w:tc>
          <w:tcPr>
            <w:tcW w:type="dxa" w:w="172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18 Oct</w:t>
            </w:r>
          </w:p>
        </w:tc>
        <w:tc>
          <w:tcPr>
            <w:tcW w:type="dxa" w:w="158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$3.0857</w:t>
            </w:r>
          </w:p>
        </w:tc>
        <w:tc>
          <w:tcPr>
            <w:tcW w:type="dxa" w:w="604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Complete operating day</w:t>
            </w:r>
          </w:p>
        </w:tc>
      </w:tr>
      <w:tr>
        <w:trPr>
          <w:cantSplit/>
        </w:trPr>
        <w:tc>
          <w:tcPr>
            <w:tcW w:type="dxa" w:w="172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19 Oct</w:t>
            </w:r>
          </w:p>
        </w:tc>
        <w:tc>
          <w:tcPr>
            <w:tcW w:type="dxa" w:w="158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$3.0857</w:t>
            </w:r>
          </w:p>
        </w:tc>
        <w:tc>
          <w:tcPr>
            <w:tcW w:type="dxa" w:w="604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Complete operating day</w:t>
            </w:r>
          </w:p>
        </w:tc>
      </w:tr>
      <w:tr>
        <w:trPr>
          <w:cantSplit/>
        </w:trPr>
        <w:tc>
          <w:tcPr>
            <w:tcW w:type="dxa" w:w="172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20 Oct</w:t>
            </w:r>
          </w:p>
        </w:tc>
        <w:tc>
          <w:tcPr>
            <w:tcW w:type="dxa" w:w="158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$3.0857</w:t>
            </w:r>
          </w:p>
        </w:tc>
        <w:tc>
          <w:tcPr>
            <w:tcW w:type="dxa" w:w="604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Complete operating day</w:t>
            </w:r>
          </w:p>
        </w:tc>
      </w:tr>
      <w:tr>
        <w:trPr>
          <w:cantSplit/>
        </w:trPr>
        <w:tc>
          <w:tcPr>
            <w:tcW w:type="dxa" w:w="172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21 Oct</w:t>
            </w:r>
          </w:p>
        </w:tc>
        <w:tc>
          <w:tcPr>
            <w:tcW w:type="dxa" w:w="158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$3.0864</w:t>
            </w:r>
          </w:p>
        </w:tc>
        <w:tc>
          <w:tcPr>
            <w:tcW w:type="dxa" w:w="604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Complete operating day</w:t>
            </w:r>
          </w:p>
        </w:tc>
      </w:tr>
      <w:tr>
        <w:trPr>
          <w:cantSplit/>
        </w:trPr>
        <w:tc>
          <w:tcPr>
            <w:tcW w:type="dxa" w:w="172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22 Oct</w:t>
            </w:r>
          </w:p>
        </w:tc>
        <w:tc>
          <w:tcPr>
            <w:tcW w:type="dxa" w:w="158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$2.6274</w:t>
            </w:r>
          </w:p>
        </w:tc>
        <w:tc>
          <w:tcPr>
            <w:tcW w:type="dxa" w:w="604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6"/>
              </w:rPr>
              <w:t>Partial / billing-lag day</w:t>
            </w:r>
          </w:p>
        </w:tc>
      </w:tr>
      <w:tr>
        <w:trPr>
          <w:cantSplit/>
        </w:trPr>
        <w:tc>
          <w:tcPr>
            <w:tcW w:type="dxa" w:w="172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23 Oct</w:t>
            </w:r>
          </w:p>
        </w:tc>
        <w:tc>
          <w:tcPr>
            <w:tcW w:type="dxa" w:w="158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$0.0000</w:t>
            </w:r>
          </w:p>
        </w:tc>
        <w:tc>
          <w:tcPr>
            <w:tcW w:type="dxa" w:w="604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6"/>
              </w:rPr>
              <w:t>No usage posted at observation time; not a zero-cost conclusion</w:t>
            </w:r>
          </w:p>
        </w:tc>
      </w:tr>
    </w:tbl>
    <w:p>
      <w:pPr>
        <w:spacing w:after="0"/>
      </w:pPr>
    </w:p>
    <w:p>
      <w:pPr>
        <w:keepNext w:val="0"/>
        <w:widowControl/>
        <w:spacing w:before="0" w:after="80" w:line="247" w:lineRule="auto"/>
      </w:pPr>
      <w:r>
        <w:rPr>
          <w:rFonts w:ascii="Arial" w:hAnsi="Arial" w:eastAsia="Arial"/>
          <w:b w:val="0"/>
          <w:i w:val="0"/>
          <w:color w:val="000000"/>
          <w:sz w:val="19"/>
        </w:rPr>
        <w:t>The console’s $1.01 calendar-day average is mathematically correct over all 23 October dates but misleading for planning because it includes 14 pre-launch zero days and the incomplete current day. The post-launch stable-day average is the appropriate runway basis.</w:t>
      </w:r>
    </w:p>
    <w:p>
      <w:pPr>
        <w:spacing w:after="0"/>
      </w:pPr>
      <w:r>
        <w:br w:type="page"/>
      </w:r>
    </w:p>
    <w:p>
      <w:pPr>
        <w:pStyle w:val="Heading1"/>
        <w:keepNext/>
        <w:spacing w:before="200" w:after="140"/>
      </w:pPr>
      <w:r>
        <w:rPr>
          <w:rFonts w:ascii="Helvetica Neue" w:hAnsi="Helvetica Neue" w:eastAsia="Helvetica Neue"/>
          <w:b/>
          <w:i w:val="0"/>
          <w:color w:val="112075"/>
          <w:sz w:val="30"/>
        </w:rPr>
        <w:t>4. Where the Money Goes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512"/>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Billed service</w:t>
            </w:r>
          </w:p>
        </w:tc>
        <w:tc>
          <w:tcPr>
            <w:tcW w:type="dxa" w:w="3772"/>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Specific resource / evidence</w:t>
            </w:r>
          </w:p>
        </w:tc>
        <w:tc>
          <w:tcPr>
            <w:tcW w:type="dxa" w:w="136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Cost to date</w:t>
            </w:r>
          </w:p>
        </w:tc>
        <w:tc>
          <w:tcPr>
            <w:tcW w:type="dxa" w:w="2707"/>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Daily / monthly view</w:t>
            </w:r>
          </w:p>
        </w:tc>
      </w:tr>
      <w:tr>
        <w:trPr>
          <w:cantSplit/>
        </w:trPr>
        <w:tc>
          <w:tcPr>
            <w:tcW w:type="dxa" w:w="151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EC2 instances</w:t>
            </w:r>
          </w:p>
        </w:tc>
        <w:tc>
          <w:tcPr>
            <w:tcW w:type="dxa" w:w="377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i-08f84202dbb6b4cce · enter-staging · m7i-flex.large</w:t>
            </w:r>
          </w:p>
        </w:tc>
        <w:tc>
          <w:tcPr>
            <w:tcW w:type="dxa" w:w="13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$21.6657</w:t>
            </w:r>
          </w:p>
        </w:tc>
        <w:tc>
          <w:tcPr>
            <w:tcW w:type="dxa" w:w="270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$2.8728/full day · $86.18/30d</w:t>
            </w:r>
          </w:p>
        </w:tc>
      </w:tr>
      <w:tr>
        <w:trPr>
          <w:cantSplit/>
        </w:trPr>
        <w:tc>
          <w:tcPr>
            <w:tcW w:type="dxa" w:w="151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EBS</w:t>
            </w:r>
          </w:p>
        </w:tc>
        <w:tc>
          <w:tcPr>
            <w:tcW w:type="dxa" w:w="377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vol-09659dd92c912378d · 30 GiB gp3 root</w:t>
            </w:r>
          </w:p>
        </w:tc>
        <w:tc>
          <w:tcPr>
            <w:tcW w:type="dxa" w:w="13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$0.70065</w:t>
            </w:r>
          </w:p>
        </w:tc>
        <w:tc>
          <w:tcPr>
            <w:tcW w:type="dxa" w:w="270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$0.0929/full day · $2.79/30d</w:t>
            </w:r>
          </w:p>
        </w:tc>
      </w:tr>
      <w:tr>
        <w:trPr>
          <w:cantSplit/>
        </w:trPr>
        <w:tc>
          <w:tcPr>
            <w:tcW w:type="dxa" w:w="151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Public IPv4</w:t>
            </w:r>
          </w:p>
        </w:tc>
        <w:tc>
          <w:tcPr>
            <w:tcW w:type="dxa" w:w="377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3.26.28.4 · auto-assigned; no Elastic IP allocated</w:t>
            </w:r>
          </w:p>
        </w:tc>
        <w:tc>
          <w:tcPr>
            <w:tcW w:type="dxa" w:w="13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$0.9131</w:t>
            </w:r>
          </w:p>
        </w:tc>
        <w:tc>
          <w:tcPr>
            <w:tcW w:type="dxa" w:w="270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$0.1200/full day · $3.60/30d</w:t>
            </w:r>
          </w:p>
        </w:tc>
      </w:tr>
      <w:tr>
        <w:trPr>
          <w:cantSplit/>
        </w:trPr>
        <w:tc>
          <w:tcPr>
            <w:tcW w:type="dxa" w:w="151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Data transfer</w:t>
            </w:r>
          </w:p>
        </w:tc>
        <w:tc>
          <w:tcPr>
            <w:tcW w:type="dxa" w:w="377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Very small cross-region byte lines within EC2-Other</w:t>
            </w:r>
          </w:p>
        </w:tc>
        <w:tc>
          <w:tcPr>
            <w:tcW w:type="dxa" w:w="13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≤$0.00012</w:t>
            </w:r>
          </w:p>
        </w:tc>
        <w:tc>
          <w:tcPr>
            <w:tcW w:type="dxa" w:w="270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Variable; immaterial today</w:t>
            </w:r>
          </w:p>
        </w:tc>
      </w:tr>
      <w:tr>
        <w:trPr>
          <w:cantSplit/>
        </w:trPr>
        <w:tc>
          <w:tcPr>
            <w:tcW w:type="dxa" w:w="151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S3 private resumes</w:t>
            </w:r>
          </w:p>
        </w:tc>
        <w:tc>
          <w:tcPr>
            <w:tcW w:type="dxa" w:w="377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enter-staging-private-2021 · 12 objects · 2.22 MiB</w:t>
            </w:r>
          </w:p>
        </w:tc>
        <w:tc>
          <w:tcPr>
            <w:tcW w:type="dxa" w:w="13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Part of $0.0007 S3</w:t>
            </w:r>
          </w:p>
        </w:tc>
        <w:tc>
          <w:tcPr>
            <w:tcW w:type="dxa" w:w="270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Variable with uploads/reads/retention</w:t>
            </w:r>
          </w:p>
        </w:tc>
      </w:tr>
      <w:tr>
        <w:trPr>
          <w:cantSplit/>
        </w:trPr>
        <w:tc>
          <w:tcPr>
            <w:tcW w:type="dxa" w:w="151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S3 backups</w:t>
            </w:r>
          </w:p>
        </w:tc>
        <w:tc>
          <w:tcPr>
            <w:tcW w:type="dxa" w:w="377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enter-staging-backups-2021 · 7 objects · 0.69 MiB</w:t>
            </w:r>
          </w:p>
        </w:tc>
        <w:tc>
          <w:tcPr>
            <w:tcW w:type="dxa" w:w="13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Part of $0.0007 S3</w:t>
            </w:r>
          </w:p>
        </w:tc>
        <w:tc>
          <w:tcPr>
            <w:tcW w:type="dxa" w:w="270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Variable; current backup timers inactive</w:t>
            </w:r>
          </w:p>
        </w:tc>
      </w:tr>
      <w:tr>
        <w:trPr>
          <w:cantSplit/>
        </w:trPr>
        <w:tc>
          <w:tcPr>
            <w:tcW w:type="dxa" w:w="151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SQS + DLQ</w:t>
            </w:r>
          </w:p>
        </w:tc>
        <w:tc>
          <w:tcPr>
            <w:tcW w:type="dxa" w:w="377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enter-staging-resume-jobs / enter-staging-resume-dlq · both depth 0</w:t>
            </w:r>
          </w:p>
        </w:tc>
        <w:tc>
          <w:tcPr>
            <w:tcW w:type="dxa" w:w="13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$0.0000</w:t>
            </w:r>
          </w:p>
        </w:tc>
        <w:tc>
          <w:tcPr>
            <w:tcW w:type="dxa" w:w="270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Requests only; 1M monthly requests free per AWS</w:t>
            </w:r>
          </w:p>
        </w:tc>
      </w:tr>
      <w:tr>
        <w:trPr>
          <w:cantSplit/>
        </w:trPr>
        <w:tc>
          <w:tcPr>
            <w:tcW w:type="dxa" w:w="151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SES</w:t>
            </w:r>
          </w:p>
        </w:tc>
        <w:tc>
          <w:tcPr>
            <w:tcW w:type="dxa" w:w="377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Outbound transactional email usage line</w:t>
            </w:r>
          </w:p>
        </w:tc>
        <w:tc>
          <w:tcPr>
            <w:tcW w:type="dxa" w:w="13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$0.0016</w:t>
            </w:r>
          </w:p>
        </w:tc>
        <w:tc>
          <w:tcPr>
            <w:tcW w:type="dxa" w:w="270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Traffic-dependent; exact sender breakdown unavailable</w:t>
            </w:r>
          </w:p>
        </w:tc>
      </w:tr>
      <w:tr>
        <w:trPr>
          <w:cantSplit/>
        </w:trPr>
        <w:tc>
          <w:tcPr>
            <w:tcW w:type="dxa" w:w="151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SNS</w:t>
            </w:r>
          </w:p>
        </w:tc>
        <w:tc>
          <w:tcPr>
            <w:tcW w:type="dxa" w:w="377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enter-production-alerts topic configured</w:t>
            </w:r>
          </w:p>
        </w:tc>
        <w:tc>
          <w:tcPr>
            <w:tcW w:type="dxa" w:w="136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$0.0000</w:t>
            </w:r>
          </w:p>
        </w:tc>
        <w:tc>
          <w:tcPr>
            <w:tcW w:type="dxa" w:w="270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4"/>
              </w:rPr>
              <w:t>Traffic-dependent</w:t>
            </w:r>
          </w:p>
        </w:tc>
      </w:tr>
      <w:tr>
        <w:trPr>
          <w:cantSplit/>
        </w:trPr>
        <w:tc>
          <w:tcPr>
            <w:tcW w:type="dxa" w:w="151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CloudWatch</w:t>
            </w:r>
          </w:p>
        </w:tc>
        <w:tc>
          <w:tcPr>
            <w:tcW w:type="dxa" w:w="377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Basic EC2 CPU metrics; detailed monitoring off</w:t>
            </w:r>
          </w:p>
        </w:tc>
        <w:tc>
          <w:tcPr>
            <w:tcW w:type="dxa" w:w="136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$0.0000</w:t>
            </w:r>
          </w:p>
        </w:tc>
        <w:tc>
          <w:tcPr>
            <w:tcW w:type="dxa" w:w="270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4"/>
              </w:rPr>
              <w:t>Could rise with custom metrics/logs</w:t>
            </w:r>
          </w:p>
        </w:tc>
      </w:tr>
    </w:tbl>
    <w:p>
      <w:pPr>
        <w:spacing w:after="0"/>
      </w:pPr>
    </w:p>
    <w:p>
      <w:pPr>
        <w:pStyle w:val="Heading2"/>
        <w:keepNext/>
        <w:spacing w:before="160" w:after="80"/>
      </w:pPr>
      <w:r>
        <w:rPr>
          <w:rFonts w:ascii="Helvetica Neue" w:hAnsi="Helvetica Neue" w:eastAsia="Helvetica Neue"/>
          <w:b/>
          <w:i w:val="0"/>
          <w:color w:val="112075"/>
          <w:sz w:val="22"/>
        </w:rPr>
        <w:t>4.1 No Double Counting</w:t>
      </w:r>
    </w:p>
    <w:p>
      <w:pPr>
        <w:keepNext w:val="0"/>
        <w:widowControl/>
        <w:spacing w:before="0" w:after="80" w:line="247" w:lineRule="auto"/>
      </w:pPr>
      <w:r>
        <w:rPr>
          <w:rFonts w:ascii="Arial" w:hAnsi="Arial" w:eastAsia="Arial"/>
          <w:b w:val="0"/>
          <w:i w:val="0"/>
          <w:color w:val="000000"/>
          <w:sz w:val="19"/>
        </w:rPr>
        <w:t>The $0.7008 EC2-Other line is decomposed into $0.70065 gp3 volume usage plus no more than about $0.00012 of transfer-related usage. It is not added again to the total. Promotional credits are reported separately from pre-credit service usage.</w:t>
      </w:r>
    </w:p>
    <w:p>
      <w:pPr>
        <w:pStyle w:val="Heading2"/>
        <w:keepNext/>
        <w:spacing w:before="160" w:after="80"/>
      </w:pPr>
      <w:r>
        <w:rPr>
          <w:rFonts w:ascii="Helvetica Neue" w:hAnsi="Helvetica Neue" w:eastAsia="Helvetica Neue"/>
          <w:b/>
          <w:i w:val="0"/>
          <w:color w:val="112075"/>
          <w:sz w:val="22"/>
        </w:rPr>
        <w:t>4.2 Why Credits Are Being Consumed</w:t>
      </w:r>
    </w:p>
    <w:p>
      <w:pPr>
        <w:spacing w:after="40"/>
        <w:ind w:left="360" w:hanging="230"/>
      </w:pPr>
      <w:r>
        <w:rPr>
          <w:rFonts w:ascii="Arial" w:hAnsi="Arial" w:eastAsia="Arial"/>
          <w:b w:val="0"/>
          <w:i w:val="0"/>
          <w:color w:val="000000"/>
          <w:sz w:val="18"/>
        </w:rPr>
        <w:t>•  The server is continuously running; compute alone accounts for 93.1% of all service usage.</w:t>
      </w:r>
    </w:p>
    <w:p>
      <w:pPr>
        <w:spacing w:after="40"/>
        <w:ind w:left="360" w:hanging="230"/>
      </w:pPr>
      <w:r>
        <w:rPr>
          <w:rFonts w:ascii="Arial" w:hAnsi="Arial" w:eastAsia="Arial"/>
          <w:b w:val="0"/>
          <w:i w:val="0"/>
          <w:color w:val="000000"/>
          <w:sz w:val="18"/>
        </w:rPr>
        <w:t>•  One public IPv4 address and one gp3 root volume add approximately $6.39 per 30 days.</w:t>
      </w:r>
    </w:p>
    <w:p>
      <w:pPr>
        <w:spacing w:after="40"/>
        <w:ind w:left="360" w:hanging="230"/>
      </w:pPr>
      <w:r>
        <w:rPr>
          <w:rFonts w:ascii="Arial" w:hAnsi="Arial" w:eastAsia="Arial"/>
          <w:b w:val="0"/>
          <w:i w:val="0"/>
          <w:color w:val="000000"/>
          <w:sz w:val="18"/>
        </w:rPr>
        <w:t>•  Candidate activity is not yet the cause: all S3, SQS, SES, SNS and CloudWatch charges together are below one cent month-to-date.</w:t>
      </w:r>
    </w:p>
    <w:p>
      <w:pPr>
        <w:spacing w:after="40"/>
        <w:ind w:left="360" w:hanging="230"/>
      </w:pPr>
      <w:r>
        <w:rPr>
          <w:rFonts w:ascii="Arial" w:hAnsi="Arial" w:eastAsia="Arial"/>
          <w:b w:val="0"/>
          <w:i w:val="0"/>
          <w:color w:val="000000"/>
          <w:sz w:val="18"/>
        </w:rPr>
        <w:t>•  The credit ledger reflects estimated usage before the month is finalized, so the apparent daily reduction in credits can lag by roughly a day.</w:t>
      </w:r>
    </w:p>
    <w:p>
      <w:pPr>
        <w:spacing w:after="0"/>
      </w:pPr>
      <w:r>
        <w:br w:type="page"/>
      </w:r>
    </w:p>
    <w:p>
      <w:pPr>
        <w:pStyle w:val="Heading1"/>
        <w:keepNext/>
        <w:spacing w:before="200" w:after="140"/>
      </w:pPr>
      <w:r>
        <w:rPr>
          <w:rFonts w:ascii="Helvetica Neue" w:hAnsi="Helvetica Neue" w:eastAsia="Helvetica Neue"/>
          <w:b/>
          <w:i w:val="0"/>
          <w:color w:val="112075"/>
          <w:sz w:val="30"/>
        </w:rPr>
        <w:t>5. Current EC2 Resource Utilization</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944"/>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Attribute</w:t>
            </w:r>
          </w:p>
        </w:tc>
        <w:tc>
          <w:tcPr>
            <w:tcW w:type="dxa" w:w="3816"/>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Verified value</w:t>
            </w:r>
          </w:p>
        </w:tc>
        <w:tc>
          <w:tcPr>
            <w:tcW w:type="dxa" w:w="3600"/>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Sizing implication</w:t>
            </w:r>
          </w:p>
        </w:tc>
      </w:tr>
      <w:tr>
        <w:trPr>
          <w:cantSplit/>
        </w:trPr>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Instance</w:t>
            </w:r>
          </w:p>
        </w:tc>
        <w:tc>
          <w:tcPr>
            <w:tcW w:type="dxa" w:w="381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m7i-flex.large · 2 vCPU · 8 GiB · x86_64</w:t>
            </w:r>
          </w:p>
        </w:tc>
        <w:tc>
          <w:tcPr>
            <w:tcW w:type="dxa" w:w="36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Appropriate architecture for current images</w:t>
            </w:r>
          </w:p>
        </w:tc>
      </w:tr>
      <w:tr>
        <w:trPr>
          <w:cantSplit/>
        </w:trPr>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Operating system</w:t>
            </w:r>
          </w:p>
        </w:tc>
        <w:tc>
          <w:tcPr>
            <w:tcW w:type="dxa" w:w="381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Ubuntu 24.04.5 LTS, amd64</w:t>
            </w:r>
          </w:p>
        </w:tc>
        <w:tc>
          <w:tcPr>
            <w:tcW w:type="dxa" w:w="36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No architecture migration required</w:t>
            </w:r>
          </w:p>
        </w:tc>
      </w:tr>
      <w:tr>
        <w:trPr>
          <w:cantSplit/>
        </w:trPr>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Observed billed hours</w:t>
            </w:r>
          </w:p>
        </w:tc>
        <w:tc>
          <w:tcPr>
            <w:tcW w:type="dxa" w:w="381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~181 hours through 22 Oct</w:t>
            </w:r>
          </w:p>
        </w:tc>
        <w:tc>
          <w:tcPr>
            <w:tcW w:type="dxa" w:w="36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Matches $0.1197/hour compute usage</w:t>
            </w:r>
          </w:p>
        </w:tc>
      </w:tr>
      <w:tr>
        <w:trPr>
          <w:cantSplit/>
        </w:trPr>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CPU, 7 days</w:t>
            </w:r>
          </w:p>
        </w:tc>
        <w:tc>
          <w:tcPr>
            <w:tcW w:type="dxa" w:w="381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6.21% average · 10.42% peak</w:t>
            </w:r>
          </w:p>
        </w:tc>
        <w:tc>
          <w:tcPr>
            <w:tcW w:type="dxa" w:w="36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Substantial compute headroom at current load</w:t>
            </w:r>
          </w:p>
        </w:tc>
      </w:tr>
      <w:tr>
        <w:trPr>
          <w:cantSplit/>
        </w:trPr>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Memory history</w:t>
            </w:r>
          </w:p>
        </w:tc>
        <w:tc>
          <w:tcPr>
            <w:tcW w:type="dxa" w:w="381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Max active 1.817 GiB (23.37%); min available 5.49 GiB</w:t>
            </w:r>
          </w:p>
        </w:tc>
        <w:tc>
          <w:tcPr>
            <w:tcW w:type="dxa" w:w="36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Headroom exists, but ClamAV is material</w:t>
            </w:r>
          </w:p>
        </w:tc>
      </w:tr>
      <w:tr>
        <w:trPr>
          <w:cantSplit/>
        </w:trPr>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Current memory</w:t>
            </w:r>
          </w:p>
        </w:tc>
        <w:tc>
          <w:tcPr>
            <w:tcW w:type="dxa" w:w="381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2.19 GiB used · 5.58 GiB available · 0 swap</w:t>
            </w:r>
          </w:p>
        </w:tc>
        <w:tc>
          <w:tcPr>
            <w:tcW w:type="dxa" w:w="36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No swap safety net during spikes</w:t>
            </w:r>
          </w:p>
        </w:tc>
      </w:tr>
      <w:tr>
        <w:trPr>
          <w:cantSplit/>
        </w:trPr>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Root disk</w:t>
            </w:r>
          </w:p>
        </w:tc>
        <w:tc>
          <w:tcPr>
            <w:tcW w:type="dxa" w:w="381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13 GiB / 29 GiB usable · 47%</w:t>
            </w:r>
          </w:p>
        </w:tc>
        <w:tc>
          <w:tcPr>
            <w:tcW w:type="dxa" w:w="36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16 GiB free; not storage constrained</w:t>
            </w:r>
          </w:p>
        </w:tc>
      </w:tr>
      <w:tr>
        <w:trPr>
          <w:cantSplit/>
        </w:trPr>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EBS layout</w:t>
            </w:r>
          </w:p>
        </w:tc>
        <w:tc>
          <w:tcPr>
            <w:tcW w:type="dxa" w:w="381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1 attached 30 GiB gp3 volume; no Sydney snapshots</w:t>
            </w:r>
          </w:p>
        </w:tc>
        <w:tc>
          <w:tcPr>
            <w:tcW w:type="dxa" w:w="36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Single-volume failure/restore design matters</w:t>
            </w:r>
          </w:p>
        </w:tc>
      </w:tr>
      <w:tr>
        <w:trPr>
          <w:cantSplit/>
        </w:trPr>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Detailed monitoring</w:t>
            </w:r>
          </w:p>
        </w:tc>
        <w:tc>
          <w:tcPr>
            <w:tcW w:type="dxa" w:w="381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Disabled; CloudWatch agent inactive</w:t>
            </w:r>
          </w:p>
        </w:tc>
        <w:tc>
          <w:tcPr>
            <w:tcW w:type="dxa" w:w="36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No CloudWatch memory history</w:t>
            </w:r>
          </w:p>
        </w:tc>
      </w:tr>
    </w:tbl>
    <w:p>
      <w:pPr>
        <w:spacing w:after="0"/>
      </w:pPr>
    </w:p>
    <w:p>
      <w:pPr>
        <w:spacing w:before="20" w:after="100"/>
      </w:pPr>
      <w:r>
        <w:rPr>
          <w:rFonts w:ascii="Helvetica Neue" w:hAnsi="Helvetica Neue" w:eastAsia="Helvetica Neue"/>
          <w:b w:val="0"/>
          <w:i/>
          <w:color w:val="666666"/>
          <w:sz w:val="16"/>
        </w:rPr>
        <w:t>CPU source: AWS CloudWatch five-minute averages, 16–23 Oct UTC, 2,015 samples. Memory source: host sysstat 16–23 Oct plus a live read on 23 Oct.</w:t>
      </w:r>
    </w:p>
    <w:p>
      <w:pPr>
        <w:pStyle w:val="Heading2"/>
        <w:keepNext/>
        <w:spacing w:before="160" w:after="80"/>
      </w:pPr>
      <w:r>
        <w:rPr>
          <w:rFonts w:ascii="Helvetica Neue" w:hAnsi="Helvetica Neue" w:eastAsia="Helvetica Neue"/>
          <w:b/>
          <w:i w:val="0"/>
          <w:color w:val="112075"/>
          <w:sz w:val="22"/>
        </w:rPr>
        <w:t>5.1 Live Docker Workload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800"/>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Service</w:t>
            </w:r>
          </w:p>
        </w:tc>
        <w:tc>
          <w:tcPr>
            <w:tcW w:type="dxa" w:w="2951"/>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Role</w:t>
            </w:r>
          </w:p>
        </w:tc>
        <w:tc>
          <w:tcPr>
            <w:tcW w:type="dxa" w:w="1224"/>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Live CPU</w:t>
            </w:r>
          </w:p>
        </w:tc>
        <w:tc>
          <w:tcPr>
            <w:tcW w:type="dxa" w:w="1655"/>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Live memory</w:t>
            </w:r>
          </w:p>
        </w:tc>
        <w:tc>
          <w:tcPr>
            <w:tcW w:type="dxa" w:w="172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Configured limit</w:t>
            </w:r>
          </w:p>
        </w:tc>
      </w:tr>
      <w:tr>
        <w:trPr>
          <w:cantSplit/>
        </w:trPr>
        <w:tc>
          <w:tcPr>
            <w:tcW w:type="dxa" w:w="18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ClamAV scanner</w:t>
            </w:r>
          </w:p>
        </w:tc>
        <w:tc>
          <w:tcPr>
            <w:tcW w:type="dxa" w:w="295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Malware scan</w:t>
            </w:r>
          </w:p>
        </w:tc>
        <w:tc>
          <w:tcPr>
            <w:tcW w:type="dxa" w:w="122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0.00%</w:t>
            </w:r>
          </w:p>
        </w:tc>
        <w:tc>
          <w:tcPr>
            <w:tcW w:type="dxa" w:w="165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1.037 GiB</w:t>
            </w:r>
          </w:p>
        </w:tc>
        <w:tc>
          <w:tcPr>
            <w:tcW w:type="dxa" w:w="172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3 GiB</w:t>
            </w:r>
          </w:p>
        </w:tc>
      </w:tr>
      <w:tr>
        <w:trPr>
          <w:cantSplit/>
        </w:trPr>
        <w:tc>
          <w:tcPr>
            <w:tcW w:type="dxa" w:w="18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Django / Gunicorn</w:t>
            </w:r>
          </w:p>
        </w:tc>
        <w:tc>
          <w:tcPr>
            <w:tcW w:type="dxa" w:w="295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API, 2 workers</w:t>
            </w:r>
          </w:p>
        </w:tc>
        <w:tc>
          <w:tcPr>
            <w:tcW w:type="dxa" w:w="122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0.02%</w:t>
            </w:r>
          </w:p>
        </w:tc>
        <w:tc>
          <w:tcPr>
            <w:tcW w:type="dxa" w:w="165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170.5 MiB</w:t>
            </w:r>
          </w:p>
        </w:tc>
        <w:tc>
          <w:tcPr>
            <w:tcW w:type="dxa" w:w="172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1 GiB</w:t>
            </w:r>
          </w:p>
        </w:tc>
      </w:tr>
      <w:tr>
        <w:trPr>
          <w:cantSplit/>
        </w:trPr>
        <w:tc>
          <w:tcPr>
            <w:tcW w:type="dxa" w:w="18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Resume worker</w:t>
            </w:r>
          </w:p>
        </w:tc>
        <w:tc>
          <w:tcPr>
            <w:tcW w:type="dxa" w:w="295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Serial SQS consumer</w:t>
            </w:r>
          </w:p>
        </w:tc>
        <w:tc>
          <w:tcPr>
            <w:tcW w:type="dxa" w:w="122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0.00%</w:t>
            </w:r>
          </w:p>
        </w:tc>
        <w:tc>
          <w:tcPr>
            <w:tcW w:type="dxa" w:w="165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94.9 MiB</w:t>
            </w:r>
          </w:p>
        </w:tc>
        <w:tc>
          <w:tcPr>
            <w:tcW w:type="dxa" w:w="172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 GiB</w:t>
            </w:r>
          </w:p>
        </w:tc>
      </w:tr>
      <w:tr>
        <w:trPr>
          <w:cantSplit/>
        </w:trPr>
        <w:tc>
          <w:tcPr>
            <w:tcW w:type="dxa" w:w="18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PostgreSQL</w:t>
            </w:r>
          </w:p>
        </w:tc>
        <w:tc>
          <w:tcPr>
            <w:tcW w:type="dxa" w:w="295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Primary database</w:t>
            </w:r>
          </w:p>
        </w:tc>
        <w:tc>
          <w:tcPr>
            <w:tcW w:type="dxa" w:w="122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0.02%</w:t>
            </w:r>
          </w:p>
        </w:tc>
        <w:tc>
          <w:tcPr>
            <w:tcW w:type="dxa" w:w="165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30.4 MiB</w:t>
            </w:r>
          </w:p>
        </w:tc>
        <w:tc>
          <w:tcPr>
            <w:tcW w:type="dxa" w:w="172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1 GiB</w:t>
            </w:r>
          </w:p>
        </w:tc>
      </w:tr>
      <w:tr>
        <w:trPr>
          <w:cantSplit/>
        </w:trPr>
        <w:tc>
          <w:tcPr>
            <w:tcW w:type="dxa" w:w="18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Caddy</w:t>
            </w:r>
          </w:p>
        </w:tc>
        <w:tc>
          <w:tcPr>
            <w:tcW w:type="dxa" w:w="295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TLS / reverse proxy</w:t>
            </w:r>
          </w:p>
        </w:tc>
        <w:tc>
          <w:tcPr>
            <w:tcW w:type="dxa" w:w="122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0.00%</w:t>
            </w:r>
          </w:p>
        </w:tc>
        <w:tc>
          <w:tcPr>
            <w:tcW w:type="dxa" w:w="165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13.7 MiB</w:t>
            </w:r>
          </w:p>
        </w:tc>
        <w:tc>
          <w:tcPr>
            <w:tcW w:type="dxa" w:w="172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128 MiB</w:t>
            </w:r>
          </w:p>
        </w:tc>
      </w:tr>
      <w:tr>
        <w:trPr>
          <w:cantSplit/>
        </w:trPr>
        <w:tc>
          <w:tcPr>
            <w:tcW w:type="dxa" w:w="18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Frontend</w:t>
            </w:r>
          </w:p>
        </w:tc>
        <w:tc>
          <w:tcPr>
            <w:tcW w:type="dxa" w:w="295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Static web app</w:t>
            </w:r>
          </w:p>
        </w:tc>
        <w:tc>
          <w:tcPr>
            <w:tcW w:type="dxa" w:w="122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0.00%</w:t>
            </w:r>
          </w:p>
        </w:tc>
        <w:tc>
          <w:tcPr>
            <w:tcW w:type="dxa" w:w="165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3.5 MiB</w:t>
            </w:r>
          </w:p>
        </w:tc>
        <w:tc>
          <w:tcPr>
            <w:tcW w:type="dxa" w:w="172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128 MiB</w:t>
            </w:r>
          </w:p>
        </w:tc>
      </w:tr>
    </w:tbl>
    <w:p>
      <w:pPr>
        <w:spacing w:after="0"/>
      </w:pPr>
    </w:p>
    <w:p>
      <w:pPr>
        <w:pStyle w:val="Heading2"/>
        <w:keepNext/>
        <w:spacing w:before="160" w:after="80"/>
      </w:pPr>
      <w:r>
        <w:rPr>
          <w:rFonts w:ascii="Helvetica Neue" w:hAnsi="Helvetica Neue" w:eastAsia="Helvetica Neue"/>
          <w:b/>
          <w:i w:val="0"/>
          <w:color w:val="112075"/>
          <w:sz w:val="22"/>
        </w:rPr>
        <w:t>5.2 Sizing Assessment</w:t>
      </w:r>
    </w:p>
    <w:p>
      <w:pPr>
        <w:keepNext w:val="0"/>
        <w:widowControl/>
        <w:spacing w:before="0" w:after="80" w:line="247" w:lineRule="auto"/>
      </w:pPr>
      <w:r>
        <w:rPr>
          <w:rFonts w:ascii="Arial" w:hAnsi="Arial" w:eastAsia="Arial"/>
          <w:b w:val="0"/>
          <w:i w:val="0"/>
          <w:color w:val="000000"/>
          <w:sz w:val="19"/>
        </w:rPr>
        <w:t>The present instance is lightly loaded and has substantial headroom. However, CPU utilization is not sufficient evidence for a safe downgrade: ClamAV is the largest application process at roughly 1.04 GiB; the worker can process documents with a 768 MiB per-process ceiling; the host has no swap; and the existing backup guard expects more than 3 GiB of available memory. The Compose memory limits also exceed physical RAM if every service were to peak simultaneously.</w:t>
      </w:r>
    </w:p>
    <w:p>
      <w:pPr>
        <w:keepNext w:val="0"/>
        <w:widowControl/>
        <w:spacing w:before="0" w:after="80" w:line="247" w:lineRule="auto"/>
      </w:pPr>
      <w:r>
        <w:rPr>
          <w:rFonts w:ascii="Arial" w:hAnsi="Arial" w:eastAsia="Arial"/>
          <w:b w:val="0"/>
          <w:i w:val="0"/>
          <w:color w:val="000000"/>
          <w:sz w:val="19"/>
        </w:rPr>
        <w:t>Conclusion: keep the current host for immediate launch. A cheaper 8 GiB option is plausible after a production-like concurrency test and a simultaneous backup/restore exercise. A 4 GiB target is not recommended from current evidence.</w:t>
      </w:r>
    </w:p>
    <w:p>
      <w:pPr>
        <w:pStyle w:val="Heading2"/>
        <w:keepNext/>
        <w:spacing w:before="160" w:after="80"/>
      </w:pPr>
      <w:r>
        <w:rPr>
          <w:rFonts w:ascii="Helvetica Neue" w:hAnsi="Helvetica Neue" w:eastAsia="Helvetica Neue"/>
          <w:b/>
          <w:i w:val="0"/>
          <w:color w:val="112075"/>
          <w:sz w:val="22"/>
        </w:rPr>
        <w:t>5.3 Idle or Unnecessary Infrastructure</w:t>
      </w:r>
    </w:p>
    <w:p>
      <w:pPr>
        <w:spacing w:after="40"/>
        <w:ind w:left="360" w:hanging="230"/>
      </w:pPr>
      <w:r>
        <w:rPr>
          <w:rFonts w:ascii="Arial" w:hAnsi="Arial" w:eastAsia="Arial"/>
          <w:b w:val="0"/>
          <w:i w:val="0"/>
          <w:color w:val="000000"/>
          <w:sz w:val="18"/>
        </w:rPr>
        <w:t>•  No separate idle EC2 instance, detached EBS volume, Elastic IP or Sydney snapshot was found.</w:t>
      </w:r>
    </w:p>
    <w:p>
      <w:pPr>
        <w:spacing w:after="40"/>
        <w:ind w:left="360" w:hanging="230"/>
      </w:pPr>
      <w:r>
        <w:rPr>
          <w:rFonts w:ascii="Arial" w:hAnsi="Arial" w:eastAsia="Arial"/>
          <w:b w:val="0"/>
          <w:i w:val="0"/>
          <w:color w:val="000000"/>
          <w:sz w:val="18"/>
        </w:rPr>
        <w:t>•  Docker reports about 5.13 GiB of reclaimable build cache and 0.41 GiB of reclaimable image data. Removing only confirmed-unused cache could improve disk headroom, but does not lower the bill while the 30 GiB volume remains provisioned.</w:t>
      </w:r>
    </w:p>
    <w:p>
      <w:pPr>
        <w:spacing w:after="40"/>
        <w:ind w:left="360" w:hanging="230"/>
      </w:pPr>
      <w:r>
        <w:rPr>
          <w:rFonts w:ascii="Arial" w:hAnsi="Arial" w:eastAsia="Arial"/>
          <w:b w:val="0"/>
          <w:i w:val="0"/>
          <w:color w:val="000000"/>
          <w:sz w:val="18"/>
        </w:rPr>
        <w:t>•  Backup, monitoring and recovery timers are installed but inactive. This is a continuity risk, not an opportunity to save money. They were not changed during this investigation.</w:t>
      </w:r>
    </w:p>
    <w:p>
      <w:pPr>
        <w:spacing w:after="0"/>
      </w:pPr>
      <w:r>
        <w:br w:type="page"/>
      </w:r>
    </w:p>
    <w:p>
      <w:pPr>
        <w:pStyle w:val="Heading1"/>
        <w:keepNext/>
        <w:spacing w:before="200" w:after="140"/>
      </w:pPr>
      <w:r>
        <w:rPr>
          <w:rFonts w:ascii="Helvetica Neue" w:hAnsi="Helvetica Neue" w:eastAsia="Helvetica Neue"/>
          <w:b/>
          <w:i w:val="0"/>
          <w:color w:val="112075"/>
          <w:sz w:val="30"/>
        </w:rPr>
        <w:t>6. Expected Launch and LinkedIn Campaign Costs</w:t>
      </w:r>
    </w:p>
    <w:p>
      <w:pPr>
        <w:keepNext w:val="0"/>
        <w:widowControl/>
        <w:spacing w:before="0" w:after="80" w:line="247" w:lineRule="auto"/>
      </w:pPr>
      <w:r>
        <w:rPr>
          <w:rFonts w:ascii="Arial" w:hAnsi="Arial" w:eastAsia="Arial"/>
          <w:b w:val="0"/>
          <w:i w:val="0"/>
          <w:color w:val="000000"/>
          <w:sz w:val="19"/>
        </w:rPr>
        <w:t>The current architecture has no autoscaling. Therefore, short-term candidate volume mainly affects email, S3 requests/storage and SQS requests, while the approximately $92.58 monthly host cost remains fixed. These forecasts assume average resume size of 2 MiB, one queued processing job per upload and up to three SES recipient deliveries per registration.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944"/>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Scenario</w:t>
            </w:r>
          </w:p>
        </w:tc>
        <w:tc>
          <w:tcPr>
            <w:tcW w:type="dxa" w:w="1512"/>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Fixed 30-day hosting</w:t>
            </w:r>
          </w:p>
        </w:tc>
        <w:tc>
          <w:tcPr>
            <w:tcW w:type="dxa" w:w="2044"/>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Incremental usage estimate</w:t>
            </w:r>
          </w:p>
        </w:tc>
        <w:tc>
          <w:tcPr>
            <w:tcW w:type="dxa" w:w="1497"/>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30-day total</w:t>
            </w:r>
          </w:p>
        </w:tc>
        <w:tc>
          <w:tcPr>
            <w:tcW w:type="dxa" w:w="2361"/>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3"/>
              </w:rPr>
              <w:t>Capacity interpretation</w:t>
            </w:r>
          </w:p>
        </w:tc>
      </w:tr>
      <w:tr>
        <w:trPr>
          <w:cantSplit/>
        </w:trPr>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A. Current low traffic</w:t>
            </w:r>
          </w:p>
        </w:tc>
        <w:tc>
          <w:tcPr>
            <w:tcW w:type="dxa" w:w="151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$92.58</w:t>
            </w:r>
          </w:p>
        </w:tc>
        <w:tc>
          <w:tcPr>
            <w:tcW w:type="dxa" w:w="20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&lt;$0.02 at today’s activity</w:t>
            </w:r>
          </w:p>
        </w:tc>
        <w:tc>
          <w:tcPr>
            <w:tcW w:type="dxa" w:w="149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$92.58–$92.60</w:t>
            </w:r>
          </w:p>
        </w:tc>
        <w:tc>
          <w:tcPr>
            <w:tcW w:type="dxa" w:w="236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Measured state; ample CPU/RAM headroom</w:t>
            </w:r>
          </w:p>
        </w:tc>
      </w:tr>
      <w:tr>
        <w:trPr>
          <w:cantSplit/>
        </w:trPr>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B. 100 registrations + uploads</w:t>
            </w:r>
          </w:p>
        </w:tc>
        <w:tc>
          <w:tcPr>
            <w:tcW w:type="dxa" w:w="151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$92.58</w:t>
            </w:r>
          </w:p>
        </w:tc>
        <w:tc>
          <w:tcPr>
            <w:tcW w:type="dxa" w:w="20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$0.05–$0.10</w:t>
            </w:r>
          </w:p>
        </w:tc>
        <w:tc>
          <w:tcPr>
            <w:tcW w:type="dxa" w:w="149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$92.63–$92.68</w:t>
            </w:r>
          </w:p>
        </w:tc>
        <w:tc>
          <w:tcPr>
            <w:tcW w:type="dxa" w:w="236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≈0.20 GiB stored; ≈300 emails; queue requests below free allowance</w:t>
            </w:r>
          </w:p>
        </w:tc>
      </w:tr>
      <w:tr>
        <w:trPr>
          <w:cantSplit/>
        </w:trPr>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C. 1,000 registrations + uploads</w:t>
            </w:r>
          </w:p>
        </w:tc>
        <w:tc>
          <w:tcPr>
            <w:tcW w:type="dxa" w:w="1512"/>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$92.58</w:t>
            </w:r>
          </w:p>
        </w:tc>
        <w:tc>
          <w:tcPr>
            <w:tcW w:type="dxa" w:w="20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$0.55–$0.75</w:t>
            </w:r>
          </w:p>
        </w:tc>
        <w:tc>
          <w:tcPr>
            <w:tcW w:type="dxa" w:w="1497"/>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$93.13–$93.33</w:t>
            </w:r>
          </w:p>
        </w:tc>
        <w:tc>
          <w:tcPr>
            <w:tcW w:type="dxa" w:w="236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≈1.95 GiB stored; ≈3,000 emails; throughput not load-tested</w:t>
            </w:r>
          </w:p>
        </w:tc>
      </w:tr>
      <w:tr>
        <w:trPr>
          <w:cantSplit/>
        </w:trPr>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D. Temporary concurrent spike</w:t>
            </w:r>
          </w:p>
        </w:tc>
        <w:tc>
          <w:tcPr>
            <w:tcW w:type="dxa" w:w="1512"/>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$92.58</w:t>
            </w:r>
          </w:p>
        </w:tc>
        <w:tc>
          <w:tcPr>
            <w:tcW w:type="dxa" w:w="20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Volume-driven; roughly Scenario C unless retries/downloads grow</w:t>
            </w:r>
          </w:p>
        </w:tc>
        <w:tc>
          <w:tcPr>
            <w:tcW w:type="dxa" w:w="1497"/>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$93–$95 planning band</w:t>
            </w:r>
          </w:p>
        </w:tc>
        <w:tc>
          <w:tcPr>
            <w:tcW w:type="dxa" w:w="236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Cost small; latency/failure risk is the concern</w:t>
            </w:r>
          </w:p>
        </w:tc>
      </w:tr>
    </w:tbl>
    <w:p>
      <w:pPr>
        <w:spacing w:after="0"/>
      </w:pPr>
    </w:p>
    <w:p>
      <w:pPr>
        <w:spacing w:before="20" w:after="100"/>
      </w:pPr>
      <w:r>
        <w:rPr>
          <w:rFonts w:ascii="Helvetica Neue" w:hAnsi="Helvetica Neue" w:eastAsia="Helvetica Neue"/>
          <w:b w:val="0"/>
          <w:i/>
          <w:color w:val="666666"/>
          <w:sz w:val="16"/>
        </w:rPr>
        <w:t>Forecast inputs: SES Essentials list price observed 23 Oct 2026 ($0.16/1,000 recipient deliveries); SQS includes 1 million monthly requests free; S3 uses Sydney standard-storage/request pricing as a small-volume estimate. Ranges allow for verification emails, retries and object requests. Data egress and abnormal retry storms are excluded.</w:t>
      </w:r>
    </w:p>
    <w:p>
      <w:pPr>
        <w:pStyle w:val="Heading2"/>
        <w:keepNext/>
        <w:spacing w:before="160" w:after="80"/>
      </w:pPr>
      <w:r>
        <w:rPr>
          <w:rFonts w:ascii="Helvetica Neue" w:hAnsi="Helvetica Neue" w:eastAsia="Helvetica Neue"/>
          <w:b/>
          <w:i w:val="0"/>
          <w:color w:val="112075"/>
          <w:sz w:val="22"/>
        </w:rPr>
        <w:t>6.1 Measured Performance vs Estimate</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015"/>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Evidence</w:t>
            </w:r>
          </w:p>
        </w:tc>
        <w:tc>
          <w:tcPr>
            <w:tcW w:type="dxa" w:w="3456"/>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What is measured</w:t>
            </w:r>
          </w:p>
        </w:tc>
        <w:tc>
          <w:tcPr>
            <w:tcW w:type="dxa" w:w="388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What is not proven</w:t>
            </w:r>
          </w:p>
        </w:tc>
      </w:tr>
      <w:tr>
        <w:trPr>
          <w:cantSplit/>
        </w:trPr>
        <w:tc>
          <w:tcPr>
            <w:tcW w:type="dxa" w:w="201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Production host</w:t>
            </w:r>
          </w:p>
        </w:tc>
        <w:tc>
          <w:tcPr>
            <w:tcW w:type="dxa" w:w="34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Low current CPU, memory and disk usage</w:t>
            </w:r>
          </w:p>
        </w:tc>
        <w:tc>
          <w:tcPr>
            <w:tcW w:type="dxa" w:w="388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Sustained high concurrency</w:t>
            </w:r>
          </w:p>
        </w:tc>
      </w:tr>
      <w:tr>
        <w:trPr>
          <w:cantSplit/>
        </w:trPr>
        <w:tc>
          <w:tcPr>
            <w:tcW w:type="dxa" w:w="201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Local parser exercise</w:t>
            </w:r>
          </w:p>
        </w:tc>
        <w:tc>
          <w:tcPr>
            <w:tcW w:type="dxa" w:w="345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100 fixture parses; peak ~129.9 MiB; max ~0.236 s</w:t>
            </w:r>
          </w:p>
        </w:tc>
        <w:tc>
          <w:tcPr>
            <w:tcW w:type="dxa" w:w="388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End-to-end network, S3, SQS, ClamAV and database behavior</w:t>
            </w:r>
          </w:p>
        </w:tc>
      </w:tr>
      <w:tr>
        <w:trPr>
          <w:cantSplit/>
        </w:trPr>
        <w:tc>
          <w:tcPr>
            <w:tcW w:type="dxa" w:w="201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Worker design</w:t>
            </w:r>
          </w:p>
        </w:tc>
        <w:tc>
          <w:tcPr>
            <w:tcW w:type="dxa" w:w="34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One serial resume-processing worker</w:t>
            </w:r>
          </w:p>
        </w:tc>
        <w:tc>
          <w:tcPr>
            <w:tcW w:type="dxa" w:w="388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1,000 simultaneous uploads or same-minute completion</w:t>
            </w:r>
          </w:p>
        </w:tc>
      </w:tr>
      <w:tr>
        <w:trPr>
          <w:cantSplit/>
        </w:trPr>
        <w:tc>
          <w:tcPr>
            <w:tcW w:type="dxa" w:w="201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Upload limits</w:t>
            </w:r>
          </w:p>
        </w:tc>
        <w:tc>
          <w:tcPr>
            <w:tcW w:type="dxa" w:w="345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Maximum resume upload 5 MiB</w:t>
            </w:r>
          </w:p>
        </w:tc>
        <w:tc>
          <w:tcPr>
            <w:tcW w:type="dxa" w:w="388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LinkedIn traffic shape and user retry rate</w:t>
            </w:r>
          </w:p>
        </w:tc>
      </w:tr>
    </w:tbl>
    <w:p>
      <w:pPr>
        <w:spacing w:after="0"/>
      </w:pPr>
    </w:p>
    <w:p>
      <w:pPr>
        <w:keepNext w:val="0"/>
        <w:widowControl/>
        <w:spacing w:before="0" w:after="80" w:line="247" w:lineRule="auto"/>
      </w:pPr>
      <w:r>
        <w:rPr>
          <w:rFonts w:ascii="Arial" w:hAnsi="Arial" w:eastAsia="Arial"/>
          <w:b w:val="0"/>
          <w:i w:val="0"/>
          <w:color w:val="000000"/>
          <w:sz w:val="19"/>
        </w:rPr>
        <w:t>A temporary spike is more likely to create queue delay and user-facing processing latency than a large AWS bill. Two Gunicorn workers, one serial resume worker and a shared ClamAV process are the practical bottlenecks to test. This report does not claim that 1,000 simultaneous uploads are supported.</w:t>
      </w:r>
    </w:p>
    <w:p>
      <w:pPr>
        <w:spacing w:after="0"/>
      </w:pPr>
      <w:r>
        <w:br w:type="page"/>
      </w:r>
    </w:p>
    <w:p>
      <w:pPr>
        <w:pStyle w:val="Heading1"/>
        <w:keepNext/>
        <w:spacing w:before="200" w:after="140"/>
      </w:pPr>
      <w:r>
        <w:rPr>
          <w:rFonts w:ascii="Helvetica Neue" w:hAnsi="Helvetica Neue" w:eastAsia="Helvetica Neue"/>
          <w:b/>
          <w:i w:val="0"/>
          <w:color w:val="112075"/>
          <w:sz w:val="30"/>
        </w:rPr>
        <w:t>7. Credit Runway and Continuity Risk</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08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Date / threshold</w:t>
            </w:r>
          </w:p>
        </w:tc>
        <w:tc>
          <w:tcPr>
            <w:tcW w:type="dxa" w:w="3600"/>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Meaning</w:t>
            </w:r>
          </w:p>
        </w:tc>
        <w:tc>
          <w:tcPr>
            <w:tcW w:type="dxa" w:w="3671"/>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Expected outcome</w:t>
            </w:r>
          </w:p>
        </w:tc>
      </w:tr>
      <w:tr>
        <w:trPr>
          <w:cantSplit/>
        </w:trPr>
        <w:tc>
          <w:tcPr>
            <w:tcW w:type="dxa" w:w="208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~23–24 Nov 2026</w:t>
            </w:r>
          </w:p>
        </w:tc>
        <w:tc>
          <w:tcPr>
            <w:tcW w:type="dxa" w:w="36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Estimated credit exhaustion at $3.08596/day</w:t>
            </w:r>
          </w:p>
        </w:tc>
        <w:tc>
          <w:tcPr>
            <w:tcW w:type="dxa" w:w="367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Free Plan likely ends first; service/account access risk</w:t>
            </w:r>
          </w:p>
        </w:tc>
      </w:tr>
      <w:tr>
        <w:trPr>
          <w:cantSplit/>
        </w:trPr>
        <w:tc>
          <w:tcPr>
            <w:tcW w:type="dxa" w:w="208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12 Apr 2027</w:t>
            </w:r>
          </w:p>
        </w:tc>
        <w:tc>
          <w:tcPr>
            <w:tcW w:type="dxa" w:w="36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Displayed Free-plan time limit</w:t>
            </w:r>
          </w:p>
        </w:tc>
        <w:tc>
          <w:tcPr>
            <w:tcW w:type="dxa" w:w="367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Not the operative date if credits are exhausted earlier</w:t>
            </w:r>
          </w:p>
        </w:tc>
      </w:tr>
      <w:tr>
        <w:trPr>
          <w:cantSplit/>
        </w:trPr>
        <w:tc>
          <w:tcPr>
            <w:tcW w:type="dxa" w:w="208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12 Oct 2027</w:t>
            </w:r>
          </w:p>
        </w:tc>
        <w:tc>
          <w:tcPr>
            <w:tcW w:type="dxa" w:w="36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Credit expiry for both issued credits</w:t>
            </w:r>
          </w:p>
        </w:tc>
        <w:tc>
          <w:tcPr>
            <w:tcW w:type="dxa" w:w="367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Unused credits expire; later than the displayed Free-plan end</w:t>
            </w:r>
          </w:p>
        </w:tc>
      </w:tr>
      <w:tr>
        <w:trPr>
          <w:cantSplit/>
        </w:trPr>
        <w:tc>
          <w:tcPr>
            <w:tcW w:type="dxa" w:w="208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90 days after AWS notification</w:t>
            </w:r>
          </w:p>
        </w:tc>
        <w:tc>
          <w:tcPr>
            <w:tcW w:type="dxa" w:w="36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Free-plan recovery window in AWS terms</w:t>
            </w:r>
          </w:p>
        </w:tc>
        <w:tc>
          <w:tcPr>
            <w:tcW w:type="dxa" w:w="367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Upgrade to Paid plan required to regain/continue access; then permanent closure/deletion risk</w:t>
            </w:r>
          </w:p>
        </w:tc>
      </w:tr>
    </w:tbl>
    <w:p>
      <w:pPr>
        <w:spacing w:after="0"/>
      </w:pPr>
    </w:p>
    <w:p>
      <w:pPr>
        <w:keepNext w:val="0"/>
        <w:widowControl/>
        <w:spacing w:before="0" w:after="80" w:line="247" w:lineRule="auto"/>
      </w:pPr>
      <w:r>
        <w:rPr>
          <w:rFonts w:ascii="Arial" w:hAnsi="Arial" w:eastAsia="Arial"/>
          <w:b w:val="0"/>
          <w:i w:val="0"/>
          <w:color w:val="000000"/>
          <w:sz w:val="19"/>
        </w:rPr>
        <w:t>Runway calculation: $96.72 estimated remaining ÷ $3.08596 per stable day = 31.34 days. The estimate is sensitive to AWS posting delay and any change in continuous host hours, but campaign transaction costs are too small to materially alter it under the stated assumptions.</w:t>
      </w:r>
    </w:p>
    <w:p>
      <w:pPr>
        <w:pStyle w:val="Heading2"/>
        <w:keepNext/>
        <w:spacing w:before="160" w:after="80"/>
      </w:pPr>
      <w:r>
        <w:rPr>
          <w:rFonts w:ascii="Helvetica Neue" w:hAnsi="Helvetica Neue" w:eastAsia="Helvetica Neue"/>
          <w:b/>
          <w:i w:val="0"/>
          <w:color w:val="112075"/>
          <w:sz w:val="22"/>
        </w:rPr>
        <w:t>7.1 Documented Free-plan Rule</w:t>
      </w:r>
    </w:p>
    <w:tbl>
      <w:tblPr>
        <w:tblW w:type="auto" w:w="0"/>
        <w:jc w:val="center"/>
        <w:tblLayout w:type="fixed"/>
        <w:tblLook w:firstColumn="1" w:firstRow="1" w:lastColumn="0" w:lastRow="0" w:noHBand="0" w:noVBand="1" w:val="04A0"/>
      </w:tblPr>
      <w:tblGrid>
        <w:gridCol w:w="9360"/>
      </w:tblGrid>
      <w:tr>
        <w:tc>
          <w:tcPr>
            <w:tcW w:type="dxa" w:w="9360"/>
            <w:shd w:fill="EDF1F7"/>
            <w:tcMar>
              <w:top w:w="100" w:type="dxa"/>
              <w:start w:w="130" w:type="dxa"/>
              <w:bottom w:w="100" w:type="dxa"/>
              <w:end w:w="130" w:type="dxa"/>
            </w:tcMar>
          </w:tcPr>
          <w:p>
            <w:pPr>
              <w:spacing w:after="40"/>
            </w:pPr>
            <w:r>
              <w:rPr>
                <w:rFonts w:ascii="Helvetica Neue" w:hAnsi="Helvetica Neue" w:eastAsia="Helvetica Neue"/>
                <w:b/>
                <w:i w:val="0"/>
                <w:color w:val="112075"/>
                <w:sz w:val="19"/>
              </w:rPr>
              <w:t>No automatic paid continuation assumed</w:t>
            </w:r>
          </w:p>
          <w:p>
            <w:pPr>
              <w:spacing w:after="0"/>
            </w:pPr>
            <w:r>
              <w:rPr>
                <w:rFonts w:ascii="Arial" w:hAnsi="Arial" w:eastAsia="Arial"/>
                <w:b w:val="0"/>
                <w:i w:val="0"/>
                <w:color w:val="000000"/>
                <w:sz w:val="18"/>
              </w:rPr>
              <w:t>AWS states that a Free Plan ends after six months or when Free Tier credits are exhausted, whichever occurs first. The Free Plan does not incur charges unless the account is upgraded or a paid-only service is activated. After the Free Plan expires, access ends; AWS terms provide 90 days after notification to upgrade before permanent closure and resource deletion. Management must not rely on the April date if credits are forecast to run out in November.</w:t>
            </w:r>
          </w:p>
        </w:tc>
      </w:tr>
    </w:tbl>
    <w:p>
      <w:pPr>
        <w:spacing w:after="0"/>
      </w:pPr>
    </w:p>
    <w:p>
      <w:pPr>
        <w:pStyle w:val="Heading2"/>
        <w:keepNext/>
        <w:spacing w:before="160" w:after="80"/>
      </w:pPr>
      <w:r>
        <w:rPr>
          <w:rFonts w:ascii="Helvetica Neue" w:hAnsi="Helvetica Neue" w:eastAsia="Helvetica Neue"/>
          <w:b/>
          <w:i w:val="0"/>
          <w:color w:val="112075"/>
          <w:sz w:val="22"/>
        </w:rPr>
        <w:t>7.2 Billing Risk Controls</w:t>
      </w:r>
    </w:p>
    <w:p>
      <w:pPr>
        <w:spacing w:after="40"/>
        <w:ind w:left="360" w:hanging="230"/>
      </w:pPr>
      <w:r>
        <w:rPr>
          <w:rFonts w:ascii="Arial" w:hAnsi="Arial" w:eastAsia="Arial"/>
          <w:b w:val="0"/>
          <w:i w:val="0"/>
          <w:color w:val="000000"/>
          <w:sz w:val="18"/>
        </w:rPr>
        <w:t>•  No paid upgrade, payment authorization or service change was made or is authorized by this report.</w:t>
      </w:r>
    </w:p>
    <w:p>
      <w:pPr>
        <w:spacing w:after="40"/>
        <w:ind w:left="360" w:hanging="230"/>
      </w:pPr>
      <w:r>
        <w:rPr>
          <w:rFonts w:ascii="Arial" w:hAnsi="Arial" w:eastAsia="Arial"/>
          <w:b w:val="0"/>
          <w:i w:val="0"/>
          <w:color w:val="000000"/>
          <w:sz w:val="18"/>
        </w:rPr>
        <w:t>•  If continuity beyond credit exhaustion is required, management must make an explicit Paid-plan and spend-limit decision before the runway date.</w:t>
      </w:r>
    </w:p>
    <w:p>
      <w:pPr>
        <w:spacing w:after="40"/>
        <w:ind w:left="360" w:hanging="230"/>
      </w:pPr>
      <w:r>
        <w:rPr>
          <w:rFonts w:ascii="Arial" w:hAnsi="Arial" w:eastAsia="Arial"/>
          <w:b w:val="0"/>
          <w:i w:val="0"/>
          <w:color w:val="000000"/>
          <w:sz w:val="18"/>
        </w:rPr>
        <w:t>•  A paid plan would apply eligible remaining credits first, then charge standard rates above the credit balance. Taxes and duties can apply depending on the billing profile; none were observed in current Free-plan evidence.</w:t>
      </w:r>
    </w:p>
    <w:p>
      <w:pPr>
        <w:spacing w:after="0"/>
      </w:pPr>
      <w:r>
        <w:br w:type="page"/>
      </w:r>
    </w:p>
    <w:p>
      <w:pPr>
        <w:pStyle w:val="Heading1"/>
        <w:keepNext/>
        <w:spacing w:before="200" w:after="140"/>
      </w:pPr>
      <w:r>
        <w:rPr>
          <w:rFonts w:ascii="Helvetica Neue" w:hAnsi="Helvetica Neue" w:eastAsia="Helvetica Neue"/>
          <w:b/>
          <w:i w:val="0"/>
          <w:color w:val="112075"/>
          <w:sz w:val="30"/>
        </w:rPr>
        <w:t>8. Safe Cost-Reduction Recommendations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08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2"/>
              </w:rPr>
              <w:t>Recommendation</w:t>
            </w:r>
          </w:p>
        </w:tc>
        <w:tc>
          <w:tcPr>
            <w:tcW w:type="dxa" w:w="2131"/>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2"/>
              </w:rPr>
              <w:t>Current expense / possible saving</w:t>
            </w:r>
          </w:p>
        </w:tc>
        <w:tc>
          <w:tcPr>
            <w:tcW w:type="dxa" w:w="835"/>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2"/>
              </w:rPr>
              <w:t>Difficulty</w:t>
            </w:r>
          </w:p>
        </w:tc>
        <w:tc>
          <w:tcPr>
            <w:tcW w:type="dxa" w:w="1756"/>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2"/>
              </w:rPr>
              <w:t>Production risk / downtime</w:t>
            </w:r>
          </w:p>
        </w:tc>
        <w:tc>
          <w:tcPr>
            <w:tcW w:type="dxa" w:w="2548"/>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2"/>
              </w:rPr>
              <w:t>Impact</w:t>
            </w:r>
          </w:p>
        </w:tc>
      </w:tr>
      <w:tr>
        <w:trPr>
          <w:cantSplit/>
        </w:trPr>
        <w:tc>
          <w:tcPr>
            <w:tcW w:type="dxa" w:w="208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1. Test, then evaluate an 8 GiB Lightsail bundle</w:t>
            </w:r>
          </w:p>
        </w:tc>
        <w:tc>
          <w:tcPr>
            <w:tcW w:type="dxa" w:w="213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$92.58 current vs $44 published bundle; gross ceiling ≈$48.58/month</w:t>
            </w:r>
          </w:p>
        </w:tc>
        <w:tc>
          <w:tcPr>
            <w:tcW w:type="dxa" w:w="83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High</w:t>
            </w:r>
          </w:p>
        </w:tc>
        <w:tc>
          <w:tcPr>
            <w:tcW w:type="dxa" w:w="17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Medium; cutover downtime likely</w:t>
            </w:r>
          </w:p>
        </w:tc>
        <w:tc>
          <w:tcPr>
            <w:tcW w:type="dxa" w:w="254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Must revalidate private S3, IAM, SQS/SES, backups, restore and DNS; no immediate change</w:t>
            </w:r>
          </w:p>
        </w:tc>
      </w:tr>
      <w:tr>
        <w:trPr>
          <w:cantSplit/>
        </w:trPr>
        <w:tc>
          <w:tcPr>
            <w:tcW w:type="dxa" w:w="208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2. After workload stabilizes, obtain a Savings Plans quote</w:t>
            </w:r>
          </w:p>
        </w:tc>
        <w:tc>
          <w:tcPr>
            <w:tcW w:type="dxa" w:w="213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$86.18/month compute; AWS advertises up to 66% Compute SP savings, a non-guaranteed ceiling of $56.88/month</w:t>
            </w:r>
          </w:p>
        </w:tc>
        <w:tc>
          <w:tcPr>
            <w:tcW w:type="dxa" w:w="83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Low</w:t>
            </w:r>
          </w:p>
        </w:tc>
        <w:tc>
          <w:tcPr>
            <w:tcW w:type="dxa" w:w="175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Low technical / medium financial; no downtime</w:t>
            </w:r>
          </w:p>
        </w:tc>
        <w:tc>
          <w:tcPr>
            <w:tcW w:type="dxa" w:w="254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No app effect, but 1- or 3-year spend commitment; do not buy from this report</w:t>
            </w:r>
          </w:p>
        </w:tc>
      </w:tr>
      <w:tr>
        <w:trPr>
          <w:cantSplit/>
        </w:trPr>
        <w:tc>
          <w:tcPr>
            <w:tcW w:type="dxa" w:w="208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3. Clean unused Docker build cache; revisit root size only during a planned rebuild</w:t>
            </w:r>
          </w:p>
        </w:tc>
        <w:tc>
          <w:tcPr>
            <w:tcW w:type="dxa" w:w="213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$0 immediate; possible ≈$0.93/month if a future tested image uses 20 GiB instead of 30 GiB</w:t>
            </w:r>
          </w:p>
        </w:tc>
        <w:tc>
          <w:tcPr>
            <w:tcW w:type="dxa" w:w="83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Low then medium</w:t>
            </w:r>
          </w:p>
        </w:tc>
        <w:tc>
          <w:tcPr>
            <w:tcW w:type="dxa" w:w="17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Low for cache; migration downtime for shrink</w:t>
            </w:r>
          </w:p>
        </w:tc>
        <w:tc>
          <w:tcPr>
            <w:tcW w:type="dxa" w:w="254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Do not touch PostgreSQL, resumes or backups; EBS cannot shrink in place</w:t>
            </w:r>
          </w:p>
        </w:tc>
      </w:tr>
      <w:tr>
        <w:trPr>
          <w:cantSplit/>
        </w:trPr>
        <w:tc>
          <w:tcPr>
            <w:tcW w:type="dxa" w:w="208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4. Review IPv4 ingress only with a replacement design</w:t>
            </w:r>
          </w:p>
        </w:tc>
        <w:tc>
          <w:tcPr>
            <w:tcW w:type="dxa" w:w="2131"/>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$3.60/month maximum direct saving</w:t>
            </w:r>
          </w:p>
        </w:tc>
        <w:tc>
          <w:tcPr>
            <w:tcW w:type="dxa" w:w="83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Medium–High</w:t>
            </w:r>
          </w:p>
        </w:tc>
        <w:tc>
          <w:tcPr>
            <w:tcW w:type="dxa" w:w="1756"/>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Medium; possible downtime</w:t>
            </w:r>
          </w:p>
        </w:tc>
        <w:tc>
          <w:tcPr>
            <w:tcW w:type="dxa" w:w="2548"/>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3"/>
              </w:rPr>
              <w:t>Could affect DNS, TLS and candidate access; replacement ingress may cost more</w:t>
            </w:r>
          </w:p>
        </w:tc>
      </w:tr>
      <w:tr>
        <w:trPr>
          <w:cantSplit/>
        </w:trPr>
        <w:tc>
          <w:tcPr>
            <w:tcW w:type="dxa" w:w="208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5. Define S3 retention/lifecycle after recovery requirements</w:t>
            </w:r>
          </w:p>
        </w:tc>
        <w:tc>
          <w:tcPr>
            <w:tcW w:type="dxa" w:w="2131"/>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$0.0007 MTD; &lt; $0.01/month near-term saving</w:t>
            </w:r>
          </w:p>
        </w:tc>
        <w:tc>
          <w:tcPr>
            <w:tcW w:type="dxa" w:w="83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Low</w:t>
            </w:r>
          </w:p>
        </w:tc>
        <w:tc>
          <w:tcPr>
            <w:tcW w:type="dxa" w:w="1756"/>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High if policy is wrong; no planned downtime</w:t>
            </w:r>
          </w:p>
        </w:tc>
        <w:tc>
          <w:tcPr>
            <w:tcW w:type="dxa" w:w="2548"/>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3"/>
              </w:rPr>
              <w:t>Can affect private resumes and backups; no deletion or lifecycle change now</w:t>
            </w:r>
          </w:p>
        </w:tc>
      </w:tr>
    </w:tbl>
    <w:p>
      <w:pPr>
        <w:spacing w:after="0"/>
      </w:pPr>
    </w:p>
    <w:p>
      <w:pPr>
        <w:pStyle w:val="Heading2"/>
        <w:keepNext/>
        <w:spacing w:before="160" w:after="80"/>
      </w:pPr>
      <w:r>
        <w:rPr>
          <w:rFonts w:ascii="Helvetica Neue" w:hAnsi="Helvetica Neue" w:eastAsia="Helvetica Neue"/>
          <w:b/>
          <w:i w:val="0"/>
          <w:color w:val="112075"/>
          <w:sz w:val="22"/>
        </w:rPr>
        <w:t>8.1 Priority Order</w:t>
      </w:r>
    </w:p>
    <w:p>
      <w:pPr>
        <w:spacing w:after="60"/>
        <w:ind w:left="432" w:hanging="360"/>
      </w:pPr>
      <w:r>
        <w:rPr>
          <w:rFonts w:ascii="Arial" w:hAnsi="Arial" w:eastAsia="Arial"/>
          <w:b w:val="0"/>
          <w:i w:val="0"/>
          <w:color w:val="000000"/>
          <w:sz w:val="18"/>
        </w:rPr>
        <w:t>1.  Protect continuity: decide how production continues before the projected November credit exhaustion.</w:t>
      </w:r>
    </w:p>
    <w:p>
      <w:pPr>
        <w:spacing w:after="60"/>
        <w:ind w:left="432" w:hanging="360"/>
      </w:pPr>
      <w:r>
        <w:rPr>
          <w:rFonts w:ascii="Arial" w:hAnsi="Arial" w:eastAsia="Arial"/>
          <w:b w:val="0"/>
          <w:i w:val="0"/>
          <w:color w:val="000000"/>
          <w:sz w:val="18"/>
        </w:rPr>
        <w:t>2.  Run the full-pipeline concurrency and backup/restore test on the current host; record queue latency, worker throughput, ClamAV memory and minimum available RAM.</w:t>
      </w:r>
    </w:p>
    <w:p>
      <w:pPr>
        <w:spacing w:after="60"/>
        <w:ind w:left="432" w:hanging="360"/>
      </w:pPr>
      <w:r>
        <w:rPr>
          <w:rFonts w:ascii="Arial" w:hAnsi="Arial" w:eastAsia="Arial"/>
          <w:b w:val="0"/>
          <w:i w:val="0"/>
          <w:color w:val="000000"/>
          <w:sz w:val="18"/>
        </w:rPr>
        <w:t>3.  Use the results to compare a lower-cost 8 GiB target. The published $44 Lightsail bundle is the strongest gross-savings candidate, but migration and security controls must be proven.</w:t>
      </w:r>
    </w:p>
    <w:p>
      <w:pPr>
        <w:spacing w:after="60"/>
        <w:ind w:left="432" w:hanging="360"/>
      </w:pPr>
      <w:r>
        <w:rPr>
          <w:rFonts w:ascii="Arial" w:hAnsi="Arial" w:eastAsia="Arial"/>
          <w:b w:val="0"/>
          <w:i w:val="0"/>
          <w:color w:val="000000"/>
          <w:sz w:val="18"/>
        </w:rPr>
        <w:t>4.  Only after a stable paid-workload decision, use AWS Purchase Analyzer for an account-specific commitment quote.</w:t>
      </w:r>
    </w:p>
    <w:p>
      <w:pPr>
        <w:keepNext w:val="0"/>
        <w:widowControl/>
        <w:spacing w:before="0" w:after="80" w:line="247" w:lineRule="auto"/>
      </w:pPr>
      <w:r>
        <w:rPr>
          <w:rFonts w:ascii="Arial" w:hAnsi="Arial" w:eastAsia="Arial"/>
          <w:b w:val="0"/>
          <w:i w:val="0"/>
          <w:color w:val="000000"/>
          <w:sz w:val="19"/>
        </w:rPr>
        <w:t>Not recommended: stopping the production instance, changing region, disabling backups, deleting storage, removing ClamAV, using Spot for the live database/web stack, or resizing to 4 GiB from current utilization alone.</w:t>
      </w:r>
    </w:p>
    <w:p>
      <w:pPr>
        <w:spacing w:after="0"/>
      </w:pPr>
      <w:r>
        <w:br w:type="page"/>
      </w:r>
    </w:p>
    <w:p>
      <w:pPr>
        <w:pStyle w:val="Heading1"/>
        <w:keepNext/>
        <w:spacing w:before="200" w:after="140"/>
      </w:pPr>
      <w:r>
        <w:rPr>
          <w:rFonts w:ascii="Helvetica Neue" w:hAnsi="Helvetica Neue" w:eastAsia="Helvetica Neue"/>
          <w:b/>
          <w:i w:val="0"/>
          <w:color w:val="112075"/>
          <w:sz w:val="30"/>
        </w:rPr>
        <w:t>9. Decisions Required from the Technical Manager</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015"/>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Decision</w:t>
            </w:r>
          </w:p>
        </w:tc>
        <w:tc>
          <w:tcPr>
            <w:tcW w:type="dxa" w:w="1944"/>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Required by</w:t>
            </w:r>
          </w:p>
        </w:tc>
        <w:tc>
          <w:tcPr>
            <w:tcW w:type="dxa" w:w="5400"/>
            <w:shd w:fill="112075"/>
            <w:tcMar>
              <w:top w:w="70" w:type="dxa"/>
              <w:start w:w="90" w:type="dxa"/>
              <w:bottom w:w="70" w:type="dxa"/>
              <w:end w:w="90" w:type="dxa"/>
            </w:tcMar>
            <w:vAlign w:val="center"/>
          </w:tcPr>
          <w:p>
            <w:pPr>
              <w:spacing w:after="0"/>
              <w:jc w:val="left"/>
            </w:pPr>
            <w:r>
              <w:rPr>
                <w:rFonts w:ascii="Helvetica Neue" w:hAnsi="Helvetica Neue" w:eastAsia="Helvetica Neue"/>
                <w:b/>
                <w:i w:val="0"/>
                <w:color w:val="FFFFFF"/>
                <w:sz w:val="15"/>
              </w:rPr>
              <w:t>Recommendation</w:t>
            </w:r>
          </w:p>
        </w:tc>
      </w:tr>
      <w:tr>
        <w:trPr>
          <w:cantSplit/>
        </w:trPr>
        <w:tc>
          <w:tcPr>
            <w:tcW w:type="dxa" w:w="201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Continuity after credits</w:t>
            </w:r>
          </w:p>
        </w:tc>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Before 23 Nov 2026 forecast</w:t>
            </w:r>
          </w:p>
        </w:tc>
        <w:tc>
          <w:tcPr>
            <w:tcW w:type="dxa" w:w="54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Choose whether to upgrade explicitly to Paid plan with a monthly ceiling; otherwise plan for Free-plan access interruption</w:t>
            </w:r>
          </w:p>
        </w:tc>
      </w:tr>
      <w:tr>
        <w:trPr>
          <w:cantSplit/>
        </w:trPr>
        <w:tc>
          <w:tcPr>
            <w:tcW w:type="dxa" w:w="201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Immediate campaign posture</w:t>
            </w:r>
          </w:p>
        </w:tc>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Before LinkedIn launch</w:t>
            </w:r>
          </w:p>
        </w:tc>
        <w:tc>
          <w:tcPr>
            <w:tcW w:type="dxa" w:w="54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Keep current instance unchanged; cap expectations and monitor queue latency</w:t>
            </w:r>
          </w:p>
        </w:tc>
      </w:tr>
      <w:tr>
        <w:trPr>
          <w:cantSplit/>
        </w:trPr>
        <w:tc>
          <w:tcPr>
            <w:tcW w:type="dxa" w:w="201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Capacity validation</w:t>
            </w:r>
          </w:p>
        </w:tc>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Before any resize</w:t>
            </w:r>
          </w:p>
        </w:tc>
        <w:tc>
          <w:tcPr>
            <w:tcW w:type="dxa" w:w="54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Approve a controlled end-to-end concurrent upload plus backup/restore test using non-production data</w:t>
            </w:r>
          </w:p>
        </w:tc>
      </w:tr>
      <w:tr>
        <w:trPr>
          <w:cantSplit/>
        </w:trPr>
        <w:tc>
          <w:tcPr>
            <w:tcW w:type="dxa" w:w="201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Lower-cost host study</w:t>
            </w:r>
          </w:p>
        </w:tc>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After test evidence</w:t>
            </w:r>
          </w:p>
        </w:tc>
        <w:tc>
          <w:tcPr>
            <w:tcW w:type="dxa" w:w="54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Compare current EC2 against an 8 GiB alternative; include cutover, IAM, private storage and restore design</w:t>
            </w:r>
          </w:p>
        </w:tc>
      </w:tr>
      <w:tr>
        <w:trPr>
          <w:cantSplit/>
        </w:trPr>
        <w:tc>
          <w:tcPr>
            <w:tcW w:type="dxa" w:w="2015"/>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Backup and monitoring posture</w:t>
            </w:r>
          </w:p>
        </w:tc>
        <w:tc>
          <w:tcPr>
            <w:tcW w:type="dxa" w:w="1944"/>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Urgent separate change review</w:t>
            </w:r>
          </w:p>
        </w:tc>
        <w:tc>
          <w:tcPr>
            <w:tcW w:type="dxa" w:w="5400"/>
            <w:tcMar>
              <w:top w:w="70" w:type="dxa"/>
              <w:start w:w="90" w:type="dxa"/>
              <w:bottom w:w="70" w:type="dxa"/>
              <w:end w:w="90" w:type="dxa"/>
            </w:tcMar>
            <w:shd w:fill="FFFFFF"/>
            <w:vAlign w:val="center"/>
          </w:tcPr>
          <w:p>
            <w:pPr>
              <w:spacing w:after="0" w:line="240" w:lineRule="auto"/>
            </w:pPr>
            <w:r>
              <w:rPr>
                <w:rFonts w:ascii="Arial" w:hAnsi="Arial" w:eastAsia="Arial"/>
                <w:b w:val="0"/>
                <w:i w:val="0"/>
                <w:color w:val="000000"/>
                <w:sz w:val="15"/>
              </w:rPr>
              <w:t>Approve activation/testing of existing timers and restore evidence; they are currently inactive</w:t>
            </w:r>
          </w:p>
        </w:tc>
      </w:tr>
      <w:tr>
        <w:trPr>
          <w:cantSplit/>
        </w:trPr>
        <w:tc>
          <w:tcPr>
            <w:tcW w:type="dxa" w:w="2015"/>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Commitment discount</w:t>
            </w:r>
          </w:p>
        </w:tc>
        <w:tc>
          <w:tcPr>
            <w:tcW w:type="dxa" w:w="1944"/>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After 30–60 days stable usage</w:t>
            </w:r>
          </w:p>
        </w:tc>
        <w:tc>
          <w:tcPr>
            <w:tcW w:type="dxa" w:w="5400"/>
            <w:tcMar>
              <w:top w:w="70" w:type="dxa"/>
              <w:start w:w="90" w:type="dxa"/>
              <w:bottom w:w="70" w:type="dxa"/>
              <w:end w:w="90" w:type="dxa"/>
            </w:tcMar>
            <w:shd w:fill="EDF1F7"/>
            <w:vAlign w:val="center"/>
          </w:tcPr>
          <w:p>
            <w:pPr>
              <w:spacing w:after="0" w:line="240" w:lineRule="auto"/>
            </w:pPr>
            <w:r>
              <w:rPr>
                <w:rFonts w:ascii="Arial" w:hAnsi="Arial" w:eastAsia="Arial"/>
                <w:b w:val="0"/>
                <w:i w:val="0"/>
                <w:color w:val="000000"/>
                <w:sz w:val="15"/>
              </w:rPr>
              <w:t>Review an AWS Purchase Analyzer quote; do not commit based on headline percentages</w:t>
            </w:r>
          </w:p>
        </w:tc>
      </w:tr>
    </w:tbl>
    <w:p>
      <w:pPr>
        <w:spacing w:after="0"/>
      </w:pPr>
    </w:p>
    <w:p>
      <w:pPr>
        <w:pStyle w:val="Heading2"/>
        <w:keepNext/>
        <w:spacing w:before="160" w:after="80"/>
      </w:pPr>
      <w:r>
        <w:rPr>
          <w:rFonts w:ascii="Helvetica Neue" w:hAnsi="Helvetica Neue" w:eastAsia="Helvetica Neue"/>
          <w:b/>
          <w:i w:val="0"/>
          <w:color w:val="112075"/>
          <w:sz w:val="22"/>
        </w:rPr>
        <w:t>9.1 Final Recommendation</w:t>
      </w:r>
    </w:p>
    <w:tbl>
      <w:tblPr>
        <w:tblW w:type="auto" w:w="0"/>
        <w:jc w:val="center"/>
        <w:tblLayout w:type="fixed"/>
        <w:tblLook w:firstColumn="1" w:firstRow="1" w:lastColumn="0" w:lastRow="0" w:noHBand="0" w:noVBand="1" w:val="04A0"/>
      </w:tblPr>
      <w:tblGrid>
        <w:gridCol w:w="9360"/>
      </w:tblGrid>
      <w:tr>
        <w:tc>
          <w:tcPr>
            <w:tcW w:type="dxa" w:w="9360"/>
            <w:shd w:fill="EDF1F7"/>
            <w:tcMar>
              <w:top w:w="100" w:type="dxa"/>
              <w:start w:w="130" w:type="dxa"/>
              <w:bottom w:w="100" w:type="dxa"/>
              <w:end w:w="130" w:type="dxa"/>
            </w:tcMar>
          </w:tcPr>
          <w:p>
            <w:pPr>
              <w:spacing w:after="40"/>
            </w:pPr>
            <w:r>
              <w:rPr>
                <w:rFonts w:ascii="Helvetica Neue" w:hAnsi="Helvetica Neue" w:eastAsia="Helvetica Neue"/>
                <w:b/>
                <w:i w:val="0"/>
                <w:color w:val="112075"/>
                <w:sz w:val="19"/>
              </w:rPr>
              <w:t>RESIZE AFTER TESTING</w:t>
            </w:r>
          </w:p>
          <w:p>
            <w:pPr>
              <w:spacing w:after="0"/>
            </w:pPr>
            <w:r>
              <w:rPr>
                <w:rFonts w:ascii="Arial" w:hAnsi="Arial" w:eastAsia="Arial"/>
                <w:b w:val="0"/>
                <w:i w:val="0"/>
                <w:color w:val="000000"/>
                <w:sz w:val="18"/>
              </w:rPr>
              <w:t>The current host costs more than the traffic warrants, but the production safety case is memory- and recovery-driven, not CPU-driven. Keep it through the immediate launch, prove concurrent upload and restore behavior, then move only to a tested 8 GiB option that preserves private resume storage, malware scanning, queue processing and recoverability.</w:t>
            </w:r>
          </w:p>
        </w:tc>
      </w:tr>
    </w:tbl>
    <w:p>
      <w:pPr>
        <w:spacing w:after="0"/>
      </w:pPr>
    </w:p>
    <w:p>
      <w:pPr>
        <w:keepNext w:val="0"/>
        <w:widowControl/>
        <w:spacing w:before="0" w:after="80" w:line="247" w:lineRule="auto"/>
      </w:pPr>
      <w:r>
        <w:rPr>
          <w:rFonts w:ascii="Arial" w:hAnsi="Arial" w:eastAsia="Arial"/>
          <w:b w:val="0"/>
          <w:i w:val="0"/>
          <w:color w:val="000000"/>
          <w:sz w:val="19"/>
        </w:rPr>
        <w:t>The best safe recommendation is therefore not an immediate resize. It is a short, evidence-gathering phase followed by a controlled decision. On current published bundle pricing, the gross saving opportunity is approximately $48.58 per month; the production risk is acceptable only after the test and recovery conditions are met.</w:t>
      </w:r>
    </w:p>
    <w:p>
      <w:pPr>
        <w:spacing w:after="0"/>
      </w:pPr>
      <w:r>
        <w:br w:type="page"/>
      </w:r>
    </w:p>
    <w:p>
      <w:pPr>
        <w:pStyle w:val="Heading1"/>
        <w:keepNext/>
        <w:spacing w:before="200" w:after="140"/>
      </w:pPr>
      <w:r>
        <w:rPr>
          <w:rFonts w:ascii="Helvetica Neue" w:hAnsi="Helvetica Neue" w:eastAsia="Helvetica Neue"/>
          <w:b/>
          <w:i w:val="0"/>
          <w:color w:val="112075"/>
          <w:sz w:val="30"/>
        </w:rPr>
        <w:t>Appendix A — Evidence, Method and Limitations</w:t>
      </w:r>
    </w:p>
    <w:p>
      <w:pPr>
        <w:pStyle w:val="Heading2"/>
        <w:keepNext/>
        <w:spacing w:before="160" w:after="80"/>
      </w:pPr>
      <w:r>
        <w:rPr>
          <w:rFonts w:ascii="Helvetica Neue" w:hAnsi="Helvetica Neue" w:eastAsia="Helvetica Neue"/>
          <w:b/>
          <w:i w:val="0"/>
          <w:color w:val="112075"/>
          <w:sz w:val="22"/>
        </w:rPr>
        <w:t>A.1 Official AWS Billing Evidence</w:t>
      </w:r>
    </w:p>
    <w:p>
      <w:pPr>
        <w:spacing w:after="40"/>
        <w:ind w:left="360" w:hanging="230"/>
      </w:pPr>
      <w:r>
        <w:rPr>
          <w:rFonts w:ascii="Arial" w:hAnsi="Arial" w:eastAsia="Arial"/>
          <w:b w:val="0"/>
          <w:i w:val="0"/>
          <w:color w:val="000000"/>
          <w:sz w:val="18"/>
        </w:rPr>
        <w:t>•  AWS Settings → Billing and Credits, account 431988153216, observed 23 Oct 2026: Free plan, $0.00 due, issued/finalized/estimated credit balances and expiration dates.</w:t>
      </w:r>
    </w:p>
    <w:p>
      <w:pPr>
        <w:spacing w:after="40"/>
        <w:ind w:left="360" w:hanging="230"/>
      </w:pPr>
      <w:r>
        <w:rPr>
          <w:rFonts w:ascii="Arial" w:hAnsi="Arial" w:eastAsia="Arial"/>
          <w:b w:val="0"/>
          <w:i w:val="0"/>
          <w:color w:val="000000"/>
          <w:sz w:val="18"/>
        </w:rPr>
        <w:t>•  AWS Cost Explorer, 1–23 Oct 2026 UTC, unblended cost, credits/refunds excluded: service, usage-type and daily breakdowns. Current-period values explicitly marked estimated by AWS.</w:t>
      </w:r>
    </w:p>
    <w:p>
      <w:pPr>
        <w:spacing w:after="40"/>
        <w:ind w:left="360" w:hanging="230"/>
      </w:pPr>
      <w:r>
        <w:rPr>
          <w:rFonts w:ascii="Arial" w:hAnsi="Arial" w:eastAsia="Arial"/>
          <w:b w:val="0"/>
          <w:i w:val="0"/>
          <w:color w:val="000000"/>
          <w:sz w:val="18"/>
        </w:rPr>
        <w:t>•  AWS EC2/EBS/S3/SQS/SNS consoles plus read-only host and instance-role queries: instance identity, volumes, bucket aggregates, queue attributes and configured alert topic.</w:t>
      </w:r>
    </w:p>
    <w:p>
      <w:pPr>
        <w:spacing w:after="40"/>
        <w:ind w:left="360" w:hanging="230"/>
      </w:pPr>
      <w:r>
        <w:rPr>
          <w:rFonts w:ascii="Arial" w:hAnsi="Arial" w:eastAsia="Arial"/>
          <w:b w:val="0"/>
          <w:i w:val="0"/>
          <w:color w:val="000000"/>
          <w:sz w:val="18"/>
        </w:rPr>
        <w:t>•  AWS CloudWatch CPU export, 16–23 Oct UTC: five-minute average metric, 2,015 samples.</w:t>
      </w:r>
    </w:p>
    <w:p>
      <w:pPr>
        <w:pStyle w:val="Heading2"/>
        <w:keepNext/>
        <w:spacing w:before="160" w:after="80"/>
      </w:pPr>
      <w:r>
        <w:rPr>
          <w:rFonts w:ascii="Helvetica Neue" w:hAnsi="Helvetica Neue" w:eastAsia="Helvetica Neue"/>
          <w:b/>
          <w:i w:val="0"/>
          <w:color w:val="112075"/>
          <w:sz w:val="22"/>
        </w:rPr>
        <w:t>A.2 Read-Only Production Evidence</w:t>
      </w:r>
    </w:p>
    <w:p>
      <w:pPr>
        <w:spacing w:after="40"/>
        <w:ind w:left="360" w:hanging="230"/>
      </w:pPr>
      <w:r>
        <w:rPr>
          <w:rFonts w:ascii="Arial" w:hAnsi="Arial" w:eastAsia="Arial"/>
          <w:b w:val="0"/>
          <w:i w:val="0"/>
          <w:color w:val="000000"/>
          <w:sz w:val="18"/>
        </w:rPr>
        <w:t>•  Host OS, CPU, memory, disk, process and Docker statistics read over the existing authorized connection. No restart, stop, resize, package installation or configuration write was performed.</w:t>
      </w:r>
    </w:p>
    <w:p>
      <w:pPr>
        <w:spacing w:after="40"/>
        <w:ind w:left="360" w:hanging="230"/>
      </w:pPr>
      <w:r>
        <w:rPr>
          <w:rFonts w:ascii="Arial" w:hAnsi="Arial" w:eastAsia="Arial"/>
          <w:b w:val="0"/>
          <w:i w:val="0"/>
          <w:color w:val="000000"/>
          <w:sz w:val="18"/>
        </w:rPr>
        <w:t>•  Database evidence was limited to aggregate size and record counts; no candidate records, resume contents or personal data were copied into this report.</w:t>
      </w:r>
    </w:p>
    <w:p>
      <w:pPr>
        <w:spacing w:after="40"/>
        <w:ind w:left="360" w:hanging="230"/>
      </w:pPr>
      <w:r>
        <w:rPr>
          <w:rFonts w:ascii="Arial" w:hAnsi="Arial" w:eastAsia="Arial"/>
          <w:b w:val="0"/>
          <w:i w:val="0"/>
          <w:color w:val="000000"/>
          <w:sz w:val="18"/>
        </w:rPr>
        <w:t>•  S3 evidence used object counts and aggregate bytes only. Object names and contents were not accessed for the report.</w:t>
      </w:r>
    </w:p>
    <w:p>
      <w:pPr>
        <w:pStyle w:val="Heading2"/>
        <w:keepNext/>
        <w:spacing w:before="160" w:after="80"/>
      </w:pPr>
      <w:r>
        <w:rPr>
          <w:rFonts w:ascii="Helvetica Neue" w:hAnsi="Helvetica Neue" w:eastAsia="Helvetica Neue"/>
          <w:b/>
          <w:i w:val="0"/>
          <w:color w:val="112075"/>
          <w:sz w:val="22"/>
        </w:rPr>
        <w:t>A.3 Missing or Incomplete Evidence</w:t>
      </w:r>
    </w:p>
    <w:p>
      <w:pPr>
        <w:spacing w:after="40"/>
        <w:ind w:left="360" w:hanging="230"/>
      </w:pPr>
      <w:r>
        <w:rPr>
          <w:rFonts w:ascii="Arial" w:hAnsi="Arial" w:eastAsia="Arial"/>
          <w:b w:val="0"/>
          <w:i w:val="0"/>
          <w:color w:val="000000"/>
          <w:sz w:val="18"/>
        </w:rPr>
        <w:t>•  October is not finalized; daily credit and Cost Explorer data can lag. The 22–23 Oct rows are incomplete.</w:t>
      </w:r>
    </w:p>
    <w:p>
      <w:pPr>
        <w:spacing w:after="40"/>
        <w:ind w:left="360" w:hanging="230"/>
      </w:pPr>
      <w:r>
        <w:rPr>
          <w:rFonts w:ascii="Arial" w:hAnsi="Arial" w:eastAsia="Arial"/>
          <w:b w:val="0"/>
          <w:i w:val="0"/>
          <w:color w:val="000000"/>
          <w:sz w:val="18"/>
        </w:rPr>
        <w:t>•  The Free-plan Bills path did not expose a separate finalized invoice. No tax line was visible; future Paid-plan tax treatment remains dependent on the account billing profile.</w:t>
      </w:r>
    </w:p>
    <w:p>
      <w:pPr>
        <w:spacing w:after="40"/>
        <w:ind w:left="360" w:hanging="230"/>
      </w:pPr>
      <w:r>
        <w:rPr>
          <w:rFonts w:ascii="Arial" w:hAnsi="Arial" w:eastAsia="Arial"/>
          <w:b w:val="0"/>
          <w:i w:val="0"/>
          <w:color w:val="000000"/>
          <w:sz w:val="18"/>
        </w:rPr>
        <w:t>•  The EC2 instance role could not list SES account details or CloudWatch alarms. Charges were still verified in Cost Explorer; sender-level attribution and alarm inventory were not available from that role.</w:t>
      </w:r>
    </w:p>
    <w:p>
      <w:pPr>
        <w:spacing w:after="40"/>
        <w:ind w:left="360" w:hanging="230"/>
      </w:pPr>
      <w:r>
        <w:rPr>
          <w:rFonts w:ascii="Arial" w:hAnsi="Arial" w:eastAsia="Arial"/>
          <w:b w:val="0"/>
          <w:i w:val="0"/>
          <w:color w:val="000000"/>
          <w:sz w:val="18"/>
        </w:rPr>
        <w:t>•  No production concurrency test was run. Scenario costs are workload estimates, and simultaneous-upload capacity is explicitly unproven.</w:t>
      </w:r>
    </w:p>
    <w:p>
      <w:pPr>
        <w:pStyle w:val="Heading2"/>
        <w:keepNext/>
        <w:spacing w:before="160" w:after="80"/>
      </w:pPr>
      <w:r>
        <w:rPr>
          <w:rFonts w:ascii="Helvetica Neue" w:hAnsi="Helvetica Neue" w:eastAsia="Helvetica Neue"/>
          <w:b/>
          <w:i w:val="0"/>
          <w:color w:val="112075"/>
          <w:sz w:val="22"/>
        </w:rPr>
        <w:t>A.4 Official Pricing and Rule References</w:t>
      </w:r>
    </w:p>
    <w:p>
      <w:pPr>
        <w:spacing w:after="40"/>
        <w:ind w:left="259"/>
      </w:pPr>
      <w:r>
        <w:rPr>
          <w:rFonts w:ascii="Arial" w:hAnsi="Arial" w:eastAsia="Arial"/>
          <w:b w:val="0"/>
          <w:i w:val="0"/>
          <w:color w:val="000000"/>
          <w:sz w:val="16"/>
        </w:rPr>
        <w:t xml:space="preserve">•  </w:t>
      </w:r>
      <w:hyperlink r:id="rId13">
        <w:r>
          <w:rPr>
            <w:color w:val="1A1BAA"/>
            <w:u w:val="single"/>
            <w:rFonts w:ascii="Helvetica Neue" w:hAnsi="Helvetica Neue"/>
            <w:sz w:val="16"/>
          </w:rPr>
          <w:t>AWS Free Tier terms</w:t>
        </w:r>
      </w:hyperlink>
      <w:r>
        <w:rPr>
          <w:rFonts w:ascii="Helvetica Neue" w:hAnsi="Helvetica Neue" w:eastAsia="Helvetica Neue"/>
          <w:b w:val="0"/>
          <w:i w:val="0"/>
          <w:color w:val="666666"/>
          <w:sz w:val="16"/>
        </w:rPr>
        <w:t xml:space="preserve"> — observed 23 Oct 2026</w:t>
      </w:r>
    </w:p>
    <w:p>
      <w:pPr>
        <w:spacing w:after="40"/>
        <w:ind w:left="259"/>
      </w:pPr>
      <w:r>
        <w:rPr>
          <w:rFonts w:ascii="Arial" w:hAnsi="Arial" w:eastAsia="Arial"/>
          <w:b w:val="0"/>
          <w:i w:val="0"/>
          <w:color w:val="000000"/>
          <w:sz w:val="16"/>
        </w:rPr>
        <w:t xml:space="preserve">•  </w:t>
      </w:r>
      <w:hyperlink r:id="rId14">
        <w:r>
          <w:rPr>
            <w:color w:val="1A1BAA"/>
            <w:u w:val="single"/>
            <w:rFonts w:ascii="Helvetica Neue" w:hAnsi="Helvetica Neue"/>
            <w:sz w:val="16"/>
          </w:rPr>
          <w:t>AWS Free Tier FAQs</w:t>
        </w:r>
      </w:hyperlink>
      <w:r>
        <w:rPr>
          <w:rFonts w:ascii="Helvetica Neue" w:hAnsi="Helvetica Neue" w:eastAsia="Helvetica Neue"/>
          <w:b w:val="0"/>
          <w:i w:val="0"/>
          <w:color w:val="666666"/>
          <w:sz w:val="16"/>
        </w:rPr>
        <w:t xml:space="preserve"> — observed 23 Oct 2026</w:t>
      </w:r>
    </w:p>
    <w:p>
      <w:pPr>
        <w:spacing w:after="40"/>
        <w:ind w:left="259"/>
      </w:pPr>
      <w:r>
        <w:rPr>
          <w:rFonts w:ascii="Arial" w:hAnsi="Arial" w:eastAsia="Arial"/>
          <w:b w:val="0"/>
          <w:i w:val="0"/>
          <w:color w:val="000000"/>
          <w:sz w:val="16"/>
        </w:rPr>
        <w:t xml:space="preserve">•  </w:t>
      </w:r>
      <w:hyperlink r:id="rId15">
        <w:r>
          <w:rPr>
            <w:color w:val="1A1BAA"/>
            <w:u w:val="single"/>
            <w:rFonts w:ascii="Helvetica Neue" w:hAnsi="Helvetica Neue"/>
            <w:sz w:val="16"/>
          </w:rPr>
          <w:t>AWS Billing guidance after Free Tier</w:t>
        </w:r>
      </w:hyperlink>
      <w:r>
        <w:rPr>
          <w:rFonts w:ascii="Helvetica Neue" w:hAnsi="Helvetica Neue" w:eastAsia="Helvetica Neue"/>
          <w:b w:val="0"/>
          <w:i w:val="0"/>
          <w:color w:val="666666"/>
          <w:sz w:val="16"/>
        </w:rPr>
        <w:t xml:space="preserve"> — observed 23 Oct 2026</w:t>
      </w:r>
    </w:p>
    <w:p>
      <w:pPr>
        <w:spacing w:after="40"/>
        <w:ind w:left="259"/>
      </w:pPr>
      <w:r>
        <w:rPr>
          <w:rFonts w:ascii="Arial" w:hAnsi="Arial" w:eastAsia="Arial"/>
          <w:b w:val="0"/>
          <w:i w:val="0"/>
          <w:color w:val="000000"/>
          <w:sz w:val="16"/>
        </w:rPr>
        <w:t xml:space="preserve">•  </w:t>
      </w:r>
      <w:hyperlink r:id="rId16">
        <w:r>
          <w:rPr>
            <w:color w:val="1A1BAA"/>
            <w:u w:val="single"/>
            <w:rFonts w:ascii="Helvetica Neue" w:hAnsi="Helvetica Neue"/>
            <w:sz w:val="16"/>
          </w:rPr>
          <w:t>Amazon VPC public IPv4 pricing</w:t>
        </w:r>
      </w:hyperlink>
      <w:r>
        <w:rPr>
          <w:rFonts w:ascii="Helvetica Neue" w:hAnsi="Helvetica Neue" w:eastAsia="Helvetica Neue"/>
          <w:b w:val="0"/>
          <w:i w:val="0"/>
          <w:color w:val="666666"/>
          <w:sz w:val="16"/>
        </w:rPr>
        <w:t xml:space="preserve"> — observed 23 Oct 2026</w:t>
      </w:r>
    </w:p>
    <w:p>
      <w:pPr>
        <w:spacing w:after="40"/>
        <w:ind w:left="259"/>
      </w:pPr>
      <w:r>
        <w:rPr>
          <w:rFonts w:ascii="Arial" w:hAnsi="Arial" w:eastAsia="Arial"/>
          <w:b w:val="0"/>
          <w:i w:val="0"/>
          <w:color w:val="000000"/>
          <w:sz w:val="16"/>
        </w:rPr>
        <w:t xml:space="preserve">•  </w:t>
      </w:r>
      <w:hyperlink r:id="rId17">
        <w:r>
          <w:rPr>
            <w:color w:val="1A1BAA"/>
            <w:u w:val="single"/>
            <w:rFonts w:ascii="Helvetica Neue" w:hAnsi="Helvetica Neue"/>
            <w:sz w:val="16"/>
          </w:rPr>
          <w:t>Amazon SES pricing</w:t>
        </w:r>
      </w:hyperlink>
      <w:r>
        <w:rPr>
          <w:rFonts w:ascii="Helvetica Neue" w:hAnsi="Helvetica Neue" w:eastAsia="Helvetica Neue"/>
          <w:b w:val="0"/>
          <w:i w:val="0"/>
          <w:color w:val="666666"/>
          <w:sz w:val="16"/>
        </w:rPr>
        <w:t xml:space="preserve"> — observed 23 Oct 2026</w:t>
      </w:r>
    </w:p>
    <w:p>
      <w:pPr>
        <w:spacing w:after="40"/>
        <w:ind w:left="259"/>
      </w:pPr>
      <w:r>
        <w:rPr>
          <w:rFonts w:ascii="Arial" w:hAnsi="Arial" w:eastAsia="Arial"/>
          <w:b w:val="0"/>
          <w:i w:val="0"/>
          <w:color w:val="000000"/>
          <w:sz w:val="16"/>
        </w:rPr>
        <w:t xml:space="preserve">•  </w:t>
      </w:r>
      <w:hyperlink r:id="rId18">
        <w:r>
          <w:rPr>
            <w:color w:val="1A1BAA"/>
            <w:u w:val="single"/>
            <w:rFonts w:ascii="Helvetica Neue" w:hAnsi="Helvetica Neue"/>
            <w:sz w:val="16"/>
          </w:rPr>
          <w:t>Amazon SQS pricing</w:t>
        </w:r>
      </w:hyperlink>
      <w:r>
        <w:rPr>
          <w:rFonts w:ascii="Helvetica Neue" w:hAnsi="Helvetica Neue" w:eastAsia="Helvetica Neue"/>
          <w:b w:val="0"/>
          <w:i w:val="0"/>
          <w:color w:val="666666"/>
          <w:sz w:val="16"/>
        </w:rPr>
        <w:t xml:space="preserve"> — observed 23 Oct 2026</w:t>
      </w:r>
    </w:p>
    <w:p>
      <w:pPr>
        <w:spacing w:after="40"/>
        <w:ind w:left="259"/>
      </w:pPr>
      <w:r>
        <w:rPr>
          <w:rFonts w:ascii="Arial" w:hAnsi="Arial" w:eastAsia="Arial"/>
          <w:b w:val="0"/>
          <w:i w:val="0"/>
          <w:color w:val="000000"/>
          <w:sz w:val="16"/>
        </w:rPr>
        <w:t xml:space="preserve">•  </w:t>
      </w:r>
      <w:hyperlink r:id="rId19">
        <w:r>
          <w:rPr>
            <w:color w:val="1A1BAA"/>
            <w:u w:val="single"/>
            <w:rFonts w:ascii="Helvetica Neue" w:hAnsi="Helvetica Neue"/>
            <w:sz w:val="16"/>
          </w:rPr>
          <w:t>Amazon S3 pricing</w:t>
        </w:r>
      </w:hyperlink>
      <w:r>
        <w:rPr>
          <w:rFonts w:ascii="Helvetica Neue" w:hAnsi="Helvetica Neue" w:eastAsia="Helvetica Neue"/>
          <w:b w:val="0"/>
          <w:i w:val="0"/>
          <w:color w:val="666666"/>
          <w:sz w:val="16"/>
        </w:rPr>
        <w:t xml:space="preserve"> — observed 23 Oct 2026</w:t>
      </w:r>
    </w:p>
    <w:p>
      <w:pPr>
        <w:spacing w:after="40"/>
        <w:ind w:left="259"/>
      </w:pPr>
      <w:r>
        <w:rPr>
          <w:rFonts w:ascii="Arial" w:hAnsi="Arial" w:eastAsia="Arial"/>
          <w:b w:val="0"/>
          <w:i w:val="0"/>
          <w:color w:val="000000"/>
          <w:sz w:val="16"/>
        </w:rPr>
        <w:t xml:space="preserve">•  </w:t>
      </w:r>
      <w:hyperlink r:id="rId20">
        <w:r>
          <w:rPr>
            <w:color w:val="1A1BAA"/>
            <w:u w:val="single"/>
            <w:rFonts w:ascii="Helvetica Neue" w:hAnsi="Helvetica Neue"/>
            <w:sz w:val="16"/>
          </w:rPr>
          <w:t>AWS Compute Savings Plans pricing</w:t>
        </w:r>
      </w:hyperlink>
      <w:r>
        <w:rPr>
          <w:rFonts w:ascii="Helvetica Neue" w:hAnsi="Helvetica Neue" w:eastAsia="Helvetica Neue"/>
          <w:b w:val="0"/>
          <w:i w:val="0"/>
          <w:color w:val="666666"/>
          <w:sz w:val="16"/>
        </w:rPr>
        <w:t xml:space="preserve"> — observed 23 Oct 2026</w:t>
      </w:r>
    </w:p>
    <w:p>
      <w:pPr>
        <w:spacing w:after="40"/>
        <w:ind w:left="259"/>
      </w:pPr>
      <w:r>
        <w:rPr>
          <w:rFonts w:ascii="Arial" w:hAnsi="Arial" w:eastAsia="Arial"/>
          <w:b w:val="0"/>
          <w:i w:val="0"/>
          <w:color w:val="000000"/>
          <w:sz w:val="16"/>
        </w:rPr>
        <w:t xml:space="preserve">•  </w:t>
      </w:r>
      <w:hyperlink r:id="rId21">
        <w:r>
          <w:rPr>
            <w:color w:val="1A1BAA"/>
            <w:u w:val="single"/>
            <w:rFonts w:ascii="Helvetica Neue" w:hAnsi="Helvetica Neue"/>
            <w:sz w:val="16"/>
          </w:rPr>
          <w:t>Amazon Lightsail pricing</w:t>
        </w:r>
      </w:hyperlink>
      <w:r>
        <w:rPr>
          <w:rFonts w:ascii="Helvetica Neue" w:hAnsi="Helvetica Neue" w:eastAsia="Helvetica Neue"/>
          <w:b w:val="0"/>
          <w:i w:val="0"/>
          <w:color w:val="666666"/>
          <w:sz w:val="16"/>
        </w:rPr>
        <w:t xml:space="preserve"> — observed 23 Oct 2026</w:t>
      </w:r>
    </w:p>
    <w:p>
      <w:pPr>
        <w:pStyle w:val="Heading2"/>
        <w:keepNext/>
        <w:spacing w:before="160" w:after="80"/>
      </w:pPr>
      <w:r>
        <w:rPr>
          <w:rFonts w:ascii="Helvetica Neue" w:hAnsi="Helvetica Neue" w:eastAsia="Helvetica Neue"/>
          <w:b/>
          <w:i w:val="0"/>
          <w:color w:val="112075"/>
          <w:sz w:val="22"/>
        </w:rPr>
        <w:t>A.5 Calculation Notes</w:t>
      </w:r>
    </w:p>
    <w:p>
      <w:pPr>
        <w:spacing w:after="40"/>
        <w:ind w:left="360" w:hanging="230"/>
      </w:pPr>
      <w:r>
        <w:rPr>
          <w:rFonts w:ascii="Arial" w:hAnsi="Arial" w:eastAsia="Arial"/>
          <w:b w:val="0"/>
          <w:i w:val="0"/>
          <w:color w:val="000000"/>
          <w:sz w:val="18"/>
        </w:rPr>
        <w:t>•  Stable daily spend = mean of complete operating days 16–21 Oct = $3.0859569.</w:t>
      </w:r>
    </w:p>
    <w:p>
      <w:pPr>
        <w:spacing w:after="40"/>
        <w:ind w:left="360" w:hanging="230"/>
      </w:pPr>
      <w:r>
        <w:rPr>
          <w:rFonts w:ascii="Arial" w:hAnsi="Arial" w:eastAsia="Arial"/>
          <w:b w:val="0"/>
          <w:i w:val="0"/>
          <w:color w:val="000000"/>
          <w:sz w:val="18"/>
        </w:rPr>
        <w:t>•  30-day forecast = $3.0859569 × 30 = $92.5787, rounded to $92.58.</w:t>
      </w:r>
    </w:p>
    <w:p>
      <w:pPr>
        <w:spacing w:after="40"/>
        <w:ind w:left="360" w:hanging="230"/>
      </w:pPr>
      <w:r>
        <w:rPr>
          <w:rFonts w:ascii="Arial" w:hAnsi="Arial" w:eastAsia="Arial"/>
          <w:b w:val="0"/>
          <w:i w:val="0"/>
          <w:color w:val="000000"/>
          <w:sz w:val="18"/>
        </w:rPr>
        <w:t>•  Credit runway = $96.72 ÷ $3.0859569 = 31.34 days; date shown as a one-day range because billing is delayed and usage is variable.</w:t>
      </w:r>
    </w:p>
    <w:p>
      <w:pPr>
        <w:spacing w:after="40"/>
        <w:ind w:left="360" w:hanging="230"/>
      </w:pPr>
      <w:r>
        <w:rPr>
          <w:rFonts w:ascii="Arial" w:hAnsi="Arial" w:eastAsia="Arial"/>
          <w:b w:val="0"/>
          <w:i w:val="0"/>
          <w:color w:val="000000"/>
          <w:sz w:val="18"/>
        </w:rPr>
        <w:t>•  Lightsail comparison is gross bundle-to-run-rate arithmetic. It excludes migration labor, parallel-running overlap, DNS cutover and any additional managed-service cost.</w:t>
      </w:r>
    </w:p>
    <w:p>
      <w:pPr>
        <w:spacing w:before="20" w:after="100"/>
      </w:pPr>
      <w:r>
        <w:rPr>
          <w:rFonts w:ascii="Helvetica Neue" w:hAnsi="Helvetica Neue" w:eastAsia="Helvetica Neue"/>
          <w:b w:val="0"/>
          <w:i/>
          <w:color w:val="666666"/>
          <w:sz w:val="16"/>
        </w:rPr>
        <w:t>Report prepared 23 Oct 2026. All USD values are rounded for management presentation; underlying Cost Explorer totals are retained to four decimals where material.</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rFonts w:ascii="Helvetica Neue" w:hAnsi="Helvetica Neue" w:eastAsia="Helvetica Neue"/>
        <w:b w:val="0"/>
        <w:i w:val="0"/>
        <w:color w:val="112075"/>
        <w:sz w:val="16"/>
        <w:szCs w:val="16"/>
      </w:rPr>
      <w:t xml:space="preserve">CONFIDENTIAL — INTERNAL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rFonts w:ascii="Helvetica Neue" w:hAnsi="Helvetica Neue" w:eastAsia="Helvetica Neue"/>
        <w:b w:val="0"/>
        <w:i w:val="0"/>
        <w:color w:val="112075"/>
        <w:sz w:val="16"/>
      </w:rPr>
      <w:t>ENTER · AWS COST REPORT</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yperlink" Target="https://aws.amazon.com/free/terms/" TargetMode="External"/><Relationship Id="rId14" Type="http://schemas.openxmlformats.org/officeDocument/2006/relationships/hyperlink" Target="https://aws.amazon.com/free/free-tier-faqs/" TargetMode="External"/><Relationship Id="rId15" Type="http://schemas.openxmlformats.org/officeDocument/2006/relationships/hyperlink" Target="https://docs.aws.amazon.com/awsaccountbilling/latest/aboutv2/avoid-charges-after-free-tier.html" TargetMode="External"/><Relationship Id="rId16" Type="http://schemas.openxmlformats.org/officeDocument/2006/relationships/hyperlink" Target="https://aws.amazon.com/vpc/pricing/" TargetMode="External"/><Relationship Id="rId17" Type="http://schemas.openxmlformats.org/officeDocument/2006/relationships/hyperlink" Target="https://aws.amazon.com/ses/pricing/" TargetMode="External"/><Relationship Id="rId18" Type="http://schemas.openxmlformats.org/officeDocument/2006/relationships/hyperlink" Target="https://aws.amazon.com/sqs/pricing/" TargetMode="External"/><Relationship Id="rId19" Type="http://schemas.openxmlformats.org/officeDocument/2006/relationships/hyperlink" Target="https://aws.amazon.com/s3/pricing/" TargetMode="External"/><Relationship Id="rId20" Type="http://schemas.openxmlformats.org/officeDocument/2006/relationships/hyperlink" Target="https://aws.amazon.com/savingsplans/compute-pricing/" TargetMode="External"/><Relationship Id="rId21" Type="http://schemas.openxmlformats.org/officeDocument/2006/relationships/hyperlink" Target="https://aws.amazon.com/lightsail/pric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AWS Cost Report — 23 October 2026</dc:title>
  <dc:subject>Read-only AWS billing and production sizing investigation</dc:subject>
  <dc:creator>OpenAI Codex, prepared from authorized read-only evidence</dc:creator>
  <cp:keywords>ENTER, AWS, cost, credits, EC2, ap-southeast-2</cp:keywords>
</cp:coreProperties>
</file>