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DECREE OF THE WINTER WARD</w:t>
      </w:r>
    </w:p>
    <w:p>
      <w:pPr>
        <w:pStyle w:val="Heading3"/>
      </w:pPr>
      <w:r>
        <w:t>Concerning The Sceptre of Final Winter</w:t>
      </w:r>
    </w:p>
    <w:p>
      <w:r>
        <w:t>Let this decree be read beneath roof, tower, gate, and ash-dark sky:</w:t>
      </w:r>
    </w:p>
    <w:p>
      <w:r>
        <w:t>The Sceptre of Final Winter is acknowledged as a ward forged in 87 AS. Its name shall be spoken whole and without shortening, lest careless tongues make a lesser thing of what was wrought to bear such a name. No clerk shall enter it as merely a sceptre, nor as merely a ward. The full style is required in every inventory, petition, warning, and record:</w:t>
      </w:r>
    </w:p>
    <w:p>
      <w:r>
        <w:t>&gt; The Sceptre of Final Winter</w:t>
      </w:r>
    </w:p>
    <w:p>
      <w:r>
        <w:t>Its visual identity is that of a ward bearing the name The Sceptre of Final Winter. Those who set down its likeness shall not adorn it with borrowed crowns, beasts, blades, or sigils. Let the hand depict what the eye is given: a ward, and the name upon it. Any embellishment beyond this shall be held the vanity of the scribe and not a faithful account.</w:t>
      </w:r>
    </w:p>
    <w:p>
      <w:r>
        <w:t>Know also that attunement to it costs 55. This cost shall not be concealed beneath softened phrasing, nor altered by a speaker seeking favor, haste, or reward. Let the number stand plainly wherever the matter is discussed. Those who cannot meet the cost shall not pretend that desire is the same as attunement. Those who can meet it shall not boast that payment grants them mastery beyond what is given.</w:t>
      </w:r>
    </w:p>
    <w:p>
      <w:r>
        <w:t>The Sceptre of Final Winter radiates an atmosphere of cold finality. Therefore let no bearer, petitioner, guard, or curious fool treat its presence as a common chill. Where that atmosphere is felt, words shall be weighed before they are spoken. Promises shall be made sparingly. Doors shall be shut with care. Fires may be kindled, but none shall mistake warmth for command over the ward.</w:t>
      </w:r>
    </w:p>
    <w:p>
      <w:r>
        <w:t>No hand shall seize it in sport. No mouth shall offer it mockery. No record shall erase the year of its forging or the cost of its attunement. Whoever keeps account of it shall preserve the name, the nature, the forging year, and the cost without correction, embellishment, or convenient omission.</w:t>
      </w:r>
    </w:p>
    <w:p>
      <w:r>
        <w:t>This decree is to remain legible. Let it be copied where copies are required, guarded where guarding is required, and read aloud where silence would breed dispute. The cold does not argue. Finality does not bargain.</w:t>
      </w:r>
    </w:p>
    <w:p>
      <w:r>
        <w:t>So is the matter set down concerning The Sceptre of Final Winter.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