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from the Reed-Gate Watch, Concerning Ashreach</w:t>
      </w:r>
    </w:p>
    <w:p>
      <w:r>
        <w:t>To the Honoured Keeper of the High Seal,</w:t>
      </w:r>
    </w:p>
    <w:p>
      <w:r>
        <w:t>I write from Ashreach, though whether “from” means standing within its walls or merely surviving beneath their shadow is a matter the marsh itself may dispute. Ashreach lies in The Weeping Marshes and is currently contested. Every road, boardwalk, and half-drowned causeway bears the mark of one claimant or another, though the mud is quick to swallow such marks by morning.</w:t>
      </w:r>
    </w:p>
    <w:p>
      <w:r>
        <w:t>Do not mistake the smoke upon the horizon for a settled hearth. It is usually a signal, or a roof burning, or both. The settlement presents the bleak, marsh-bound aspect of a place caught between ash and water. Its timbers sweat black moisture. Its wells taste of iron. Even the bells seem reluctant to sound, as if they fear drawing the attention of whatever listens beyond the reeds.</w:t>
      </w:r>
    </w:p>
    <w:p>
      <w:r>
        <w:t>The garrison numbers 2598. I set the figure plainly, lest some comfortable clerk reduce it to a tidier sum. Yet numbers do not make a wall steadfast. The garrison is sufficient to hold the gates for a time, and sufficient to punish any fool who tests them openly. It is not sufficient to make Ashreach peaceful, nor to make its people certain that tomorrow belongs to them.</w:t>
      </w:r>
    </w:p>
    <w:p>
      <w:r>
        <w:t>Thus Ashreach remains a defended but unsettled holding rather than a core stronghold. That distinction is understood by every sentry, though never spoken where the officers may hear. A core stronghold expects relief. Ashreach expects footsteps in the fog.</w:t>
      </w:r>
    </w:p>
    <w:p>
      <w:r>
        <w:t>The atmosphere here is tense, unstable, and perpetually threatened. Men sleep with one hand upon the latch and the other upon whatever weapon they trust. The ferrymen refuse to cross after dusk. The market opens when it can and closes before anyone admits why. I have seen watchfires kindled on both sides of the same embankment, each company claiming the other had trespassed first.</w:t>
      </w:r>
    </w:p>
    <w:p>
      <w:r>
        <w:t>We hold the walls, if walls they may be called. We hold the storehouses when they are not already empty. We hold our tongues, which is presently the most valuable duty. But I cannot swear that the ground beneath us remains loyal. The marsh shifts without proclamation, and Ashreach shifts with it.</w:t>
      </w:r>
    </w:p>
    <w:p>
      <w:r>
        <w:t>If aid is intended, send it without banners and without promises. Banners are noticed. Promises are remembered.</w:t>
      </w:r>
    </w:p>
    <w:p>
      <w:r>
        <w:t>Written beneath a shuttered lamp, with the water rising under the door,</w:t>
      </w:r>
    </w:p>
    <w:p>
      <w:r>
        <w:t>Your obedient and watchful servant, The undersigned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