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Letter Concerning the Registry Entries of Ederon Coldwater and Draven Ashgrove</w:t>
      </w:r>
    </w:p>
    <w:p>
      <w:r>
        <w:t>_To the keeper of the Ashen Era rolls,_</w:t>
      </w:r>
    </w:p>
    <w:p>
      <w:r>
        <w:t>I send this under a plain seal, for plainness is safer than ornament when a name has been copied too many times by hands that prefer a story to a record.</w:t>
      </w:r>
    </w:p>
    <w:p>
      <w:r>
        <w:t>The entry for Ederon Coldwater must be kept among the minor figures of the Ashen Era. He was born in 391 AS. His service is recorded as that of a Sapper, and no more should be made of it without warrant. Let no clerk paint him with a scar, a broken tooth, a favored weapon, or any other mark merely because an empty margin troubles the eye. No canonical physical features are established for Ederon Coldwater; his visual identity is limited to his role as a Sapper. Likewise, no canonical temperament is established for him. If he was grim, merry, treacherous, dutiful, or dull, the roll does not say. The roll must not pretend otherwise.</w:t>
      </w:r>
    </w:p>
    <w:p>
      <w:r>
        <w:t>The entry for Draven Ashgrove deserves the same guarded treatment. He is a minor character who serves as a Lantern-Warden. His birth is recorded as 382 AS. No physical features are recorded for Draven Ashgrove; his visual identity is associated with the office of a Lantern-Warden. This is an office, not an invitation for invention. Do not furnish his face with a missing eye, a silver beard, a branded hand, or any other convenient emblem. No temperament is recorded. The absence is not proof of kindness, cruelty, courage, or cowardice. It is only an absence, and absences are more honest than most testimony.</w:t>
      </w:r>
    </w:p>
    <w:p>
      <w:r>
        <w:t>I know the copyists dislike such entries. They hunger for a posture, a voice, a gesture by which a person may be fastened to the page. Yet the Sundering has left enough false certainty in the world already. A name need not be swollen into a legend to deserve preservation. A Sapper may remain a Sapper. A Lantern-Warden may remain known by the office he serves. The record can bear its own silence.</w:t>
      </w:r>
    </w:p>
    <w:p>
      <w:r>
        <w:t>Therefore, amend no birth year, add no feature, and assign no demeanor to either entry. Keep Ederon Coldwater marked as born in 391 AS, serving as a Sapper. Keep Draven Ashgrove marked as born in 382 AS, serving as a Lantern-Warden. Let the truth stand thin, if thin is all that truth has left us.</w:t>
      </w:r>
    </w:p>
    <w:p>
      <w:r>
        <w:t>_Sealed by a hand that prefers the unadorned record_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