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Sealed Letter Concerning Sabelle Blackspire</w:t>
      </w:r>
    </w:p>
    <w:p>
      <w:r>
        <w:t>_To the keeper of the surviving rolls,_</w:t>
      </w:r>
    </w:p>
    <w:p>
      <w:r>
        <w:t>I send this under a plain seal, for the matter is neither grand enough for a trumpet nor safe enough for careless speech. It concerns Sabelle Blackspire, whose name has lately been copied into margins where it does not belong and omitted from ledgers where it ought to remain.</w:t>
      </w:r>
    </w:p>
    <w:p>
      <w:r>
        <w:t>Let the record stand plainly: Sabelle Blackspire is a minor figure of the Ashen Era, born in 341 AS. She serves as a Quartermaster. That is the sure portion, and it is more than most scraps of our age can claim.</w:t>
      </w:r>
    </w:p>
    <w:p>
      <w:r>
        <w:t>Beyond this, caution is required.</w:t>
      </w:r>
    </w:p>
    <w:p>
      <w:r>
        <w:t>No canonical physical features are established for Sabelle Blackspire. Her visual identity is limited to her role as a Quartermaster. Any sketch, description, scar, color of hair, cast of face, or mark upon her hands must therefore be treated as invention, however confidently the ink declares it. I have seen too many uncertain likenesses made solid by repetition. A copied lie grows a spine in the archive.</w:t>
      </w:r>
    </w:p>
    <w:p>
      <w:r>
        <w:t>Nor is any canonical temperament established for Sabelle Blackspire. Do not call her stern because a Quartermaster is expected to count without pity. Do not call her kind because she is said—by whom, I cannot tell—to have measured fairly. Do not make her cruel to sweeten a tale, nor patient to make a lesson of her. The rolls grant her a service, not a soul laid open for inspection.</w:t>
      </w:r>
    </w:p>
    <w:p>
      <w:r>
        <w:t>There are those who insist that a person of such station must have served some greater hand, opposed some greater cause, or witnessed some calamity worth preserving. Perhaps. I possess no trustworthy entry that permits me to write so. A Quartermaster may stand near hunger, war, and ruin without becoming the author of any of them. A minor figure may still be wrongly burdened by the eager pen.</w:t>
      </w:r>
    </w:p>
    <w:p>
      <w:r>
        <w:t>Keep her name as written. Keep her birth year as written: 341 AS. Keep her office: Quartermaster. Where the record is silent, leave it silent. Ash fills every hollow we neglect, but empty space is not an invitation to forge a face within it.</w:t>
      </w:r>
    </w:p>
    <w:p>
      <w:r>
        <w:t>Should this letter be judged too cautious, let that judgment fall upon me. I would rather leave Sabelle Blackspire indistinct than give her features, temper, loyalties, or deeds that the surviving record does not grant.</w:t>
      </w:r>
    </w:p>
    <w:p>
      <w:r>
        <w:t>_Sealed in ash and returned to the rolls,_ _A keeper of uncertain accounts_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