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Quartermaster’s Ledger: Gauntlet of Sorrowfell</w:t>
      </w:r>
    </w:p>
    <w:tbl>
      <w:tblPr>
        <w:tblStyle w:val="LightGrid-Accent3"/>
        <w:tblW w:type="auto" w:w="0"/>
        <w:tblLook w:firstColumn="1" w:firstRow="1" w:lastColumn="0" w:lastRow="0" w:noHBand="0" w:noVBand="1" w:val="04A0"/>
      </w:tblPr>
      <w:tblGrid>
        <w:gridCol w:w="4320"/>
        <w:gridCol w:w="4320"/>
      </w:tblGrid>
      <w:tr>
        <w:tc>
          <w:tcPr>
            <w:tcW w:type="dxa" w:w="4320"/>
          </w:tcPr>
          <w:p>
            <w:r>
              <w:t>Ledger Field</w:t>
            </w:r>
          </w:p>
        </w:tc>
        <w:tc>
          <w:tcPr>
            <w:tcW w:type="dxa" w:w="4320"/>
          </w:tcPr>
          <w:p>
            <w:r>
              <w:t>Record</w:t>
            </w:r>
          </w:p>
        </w:tc>
      </w:tr>
      <w:tr>
        <w:tc>
          <w:tcPr>
            <w:tcW w:type="dxa" w:w="4320"/>
          </w:tcPr>
          <w:p>
            <w:r>
              <w:t>Article</w:t>
            </w:r>
          </w:p>
        </w:tc>
        <w:tc>
          <w:tcPr>
            <w:tcW w:type="dxa" w:w="4320"/>
          </w:tcPr>
          <w:p>
            <w:r>
              <w:t>Gauntlet of Sorrowfell</w:t>
            </w:r>
          </w:p>
        </w:tc>
      </w:tr>
      <w:tr>
        <w:tc>
          <w:tcPr>
            <w:tcW w:type="dxa" w:w="4320"/>
          </w:tcPr>
          <w:p>
            <w:r>
              <w:t>Classification</w:t>
            </w:r>
          </w:p>
        </w:tc>
        <w:tc>
          <w:tcPr>
            <w:tcW w:type="dxa" w:w="4320"/>
          </w:tcPr>
          <w:p>
            <w:r>
              <w:t>Artifact</w:t>
            </w:r>
          </w:p>
        </w:tc>
      </w:tr>
      <w:tr>
        <w:tc>
          <w:tcPr>
            <w:tcW w:type="dxa" w:w="4320"/>
          </w:tcPr>
          <w:p>
            <w:r>
              <w:t>Mustered as</w:t>
            </w:r>
          </w:p>
        </w:tc>
        <w:tc>
          <w:tcPr>
            <w:tcW w:type="dxa" w:w="4320"/>
          </w:tcPr>
          <w:p>
            <w:r>
              <w:t>Regalia</w:t>
            </w:r>
          </w:p>
        </w:tc>
      </w:tr>
      <w:tr>
        <w:tc>
          <w:tcPr>
            <w:tcW w:type="dxa" w:w="4320"/>
          </w:tcPr>
          <w:p>
            <w:r>
              <w:t>Attunement cost</w:t>
            </w:r>
          </w:p>
        </w:tc>
        <w:tc>
          <w:tcPr>
            <w:tcW w:type="dxa" w:w="4320"/>
          </w:tcPr>
          <w:p>
            <w:r>
              <w:t>12</w:t>
            </w:r>
          </w:p>
        </w:tc>
      </w:tr>
      <w:tr>
        <w:tc>
          <w:tcPr>
            <w:tcW w:type="dxa" w:w="4320"/>
          </w:tcPr>
          <w:p>
            <w:r>
              <w:t>Forging date</w:t>
            </w:r>
          </w:p>
        </w:tc>
        <w:tc>
          <w:tcPr>
            <w:tcW w:type="dxa" w:w="4320"/>
          </w:tcPr>
          <w:p>
            <w:r>
              <w:t>Not recorded in the supplied facts</w:t>
            </w:r>
          </w:p>
        </w:tc>
      </w:tr>
      <w:tr>
        <w:tc>
          <w:tcPr>
            <w:tcW w:type="dxa" w:w="4320"/>
          </w:tcPr>
          <w:p>
            <w:r>
              <w:t>Visual identity</w:t>
            </w:r>
          </w:p>
        </w:tc>
        <w:tc>
          <w:tcPr>
            <w:tcW w:type="dxa" w:w="4320"/>
          </w:tcPr>
          <w:p>
            <w:r>
              <w:t>Regalia bearing the name Gauntlet of Sorrowfell</w:t>
            </w:r>
          </w:p>
        </w:tc>
      </w:tr>
      <w:tr>
        <w:tc>
          <w:tcPr>
            <w:tcW w:type="dxa" w:w="4320"/>
          </w:tcPr>
          <w:p>
            <w:r>
              <w:t>Demeanor</w:t>
            </w:r>
          </w:p>
        </w:tc>
        <w:tc>
          <w:tcPr>
            <w:tcW w:type="dxa" w:w="4320"/>
          </w:tcPr>
          <w:p>
            <w:r>
              <w:t>An atmosphere of sorrow and grim authority</w:t>
            </w:r>
          </w:p>
        </w:tc>
      </w:tr>
      <w:tr>
        <w:tc>
          <w:tcPr>
            <w:tcW w:type="dxa" w:w="4320"/>
          </w:tcPr>
          <w:p>
            <w:r>
              <w:t>Custody</w:t>
            </w:r>
          </w:p>
        </w:tc>
        <w:tc>
          <w:tcPr>
            <w:tcW w:type="dxa" w:w="4320"/>
          </w:tcPr>
          <w:p>
            <w:r>
              <w:t>To be entered only by a hand bearing proper seal</w:t>
            </w:r>
          </w:p>
        </w:tc>
      </w:tr>
      <w:tr>
        <w:tc>
          <w:tcPr>
            <w:tcW w:type="dxa" w:w="4320"/>
          </w:tcPr>
          <w:p>
            <w:r>
              <w:t>Condition</w:t>
            </w:r>
          </w:p>
        </w:tc>
        <w:tc>
          <w:tcPr>
            <w:tcW w:type="dxa" w:w="4320"/>
          </w:tcPr>
          <w:p>
            <w:r>
              <w:t>Do not infer from appearance alone</w:t>
            </w:r>
          </w:p>
        </w:tc>
      </w:tr>
      <w:tr>
        <w:tc>
          <w:tcPr>
            <w:tcW w:type="dxa" w:w="4320"/>
          </w:tcPr>
          <w:p>
            <w:r>
              <w:t>Issue</w:t>
            </w:r>
          </w:p>
        </w:tc>
        <w:tc>
          <w:tcPr>
            <w:tcW w:type="dxa" w:w="4320"/>
          </w:tcPr>
          <w:p>
            <w:r>
              <w:t>No notation permitted without verified attunement</w:t>
            </w:r>
          </w:p>
        </w:tc>
      </w:tr>
      <w:tr>
        <w:tc>
          <w:tcPr>
            <w:tcW w:type="dxa" w:w="4320"/>
          </w:tcPr>
          <w:p>
            <w:r>
              <w:t>Remarks</w:t>
            </w:r>
          </w:p>
        </w:tc>
        <w:tc>
          <w:tcPr>
            <w:tcW w:type="dxa" w:w="4320"/>
          </w:tcPr>
          <w:p>
            <w:r>
              <w:t>Preserve this leaf with the article’s other records</w:t>
            </w:r>
          </w:p>
        </w:tc>
      </w:tr>
    </w:tbl>
    <w:p>
      <w:r>
        <w:t>The article named Gauntlet of Sorrowfell is to be treated as regalia, though fools may mistake it for a mere weapon or piece of ceremonial armor. Such fools are to be corrected before they are allowed near the stores. A gauntlet may cover the hand, but this one carries a weight that is not measured in iron, leather, or any ordinary burden.</w:t>
      </w:r>
    </w:p>
    <w:p>
      <w:r>
        <w:t>Its attunement cost is 12. Let that figure stand clear in the margin and in the mind of any quartermaster charged with its keeping. No lesser notation is acceptable, and no alteration is to be made merely because the bearer complains of the cost. The cost belongs to the article. The article does not bend to the bearer.</w:t>
      </w:r>
    </w:p>
    <w:p>
      <w:r>
        <w:t>The visual identity of the Gauntlet of Sorrowfell is that of regalia bearing the name Gauntlet of Sorrowfell. Its name is not to be rubbed away, ornamented, shortened, or replaced with a barracks nickname. A named thing is more easily remembered, and a remembered thing is less easily lost. So the old hands say. The old hands also say many things after the lamps are low.</w:t>
      </w:r>
    </w:p>
    <w:p>
      <w:r>
        <w:t>The forging date is not recorded in the supplied facts. Therefore, no date is to be guessed, copied from a damaged tag, or supplied by a claimant eager to make the relic seem older, younger, holier, or more obedient than the record permits. Leave the space unfilled. An empty field is cleaner than a lie.</w:t>
      </w:r>
    </w:p>
    <w:p>
      <w:r>
        <w:t>Its demeanor carries an atmosphere of sorrow and grim authority. Personnel assigned to inspection will conduct themselves accordingly. No jesting, boasting, singing, or idle touching is to be entered beside this article. If the presence of the gauntlet makes a room feel smaller, record the sensation only as a warning to the next keeper, not as proof of any power.</w:t>
      </w:r>
    </w:p>
    <w:p>
      <w:r>
        <w:t>By order of the stores, this ledger is to preserve what is known, mark what is absent, and surrender neither to superstition nor hunger for a complete 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