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Quartermaster’s Ledger of Falconry Stores and Court Papers</w:t>
      </w:r>
    </w:p>
    <w:p>
      <w:r>
        <w:t>Kept under seal, with corrections entered in the margin and all disputed lines left visible.</w:t>
      </w:r>
    </w:p>
    <w:tbl>
      <w:tblPr>
        <w:tblStyle w:val="LightGrid-Accent3"/>
        <w:tblW w:type="auto" w:w="0"/>
        <w:tblLook w:firstColumn="1" w:firstRow="1" w:lastColumn="0" w:lastRow="0" w:noHBand="0" w:noVBand="1" w:val="04A0"/>
      </w:tblPr>
      <w:tblGrid>
        <w:gridCol w:w="2880"/>
        <w:gridCol w:w="2880"/>
        <w:gridCol w:w="2880"/>
      </w:tblGrid>
      <w:tr>
        <w:tc>
          <w:tcPr>
            <w:tcW w:type="dxa" w:w="2880"/>
          </w:tcPr>
          <w:p>
            <w:r>
              <w:t>Person</w:t>
            </w:r>
          </w:p>
        </w:tc>
        <w:tc>
          <w:tcPr>
            <w:tcW w:type="dxa" w:w="2880"/>
          </w:tcPr>
          <w:p>
            <w:r>
              <w:t>Station and birth entry</w:t>
            </w:r>
          </w:p>
        </w:tc>
        <w:tc>
          <w:tcPr>
            <w:tcW w:type="dxa" w:w="2880"/>
          </w:tcPr>
          <w:p>
            <w:r>
              <w:t>Stores, papers, and observations</w:t>
            </w:r>
          </w:p>
        </w:tc>
      </w:tr>
      <w:tr>
        <w:tc>
          <w:tcPr>
            <w:tcW w:type="dxa" w:w="2880"/>
          </w:tcPr>
          <w:p>
            <w:r>
              <w:t>Ignatz Cindervale</w:t>
            </w:r>
          </w:p>
        </w:tc>
        <w:tc>
          <w:tcPr>
            <w:tcW w:type="dxa" w:w="2880"/>
          </w:tcPr>
          <w:p>
            <w:r>
              <w:t>Falconer. Born in 274 AS.</w:t>
            </w:r>
          </w:p>
        </w:tc>
        <w:tc>
          <w:tcPr>
            <w:tcW w:type="dxa" w:w="2880"/>
          </w:tcPr>
          <w:p>
            <w:r>
              <w:t>Falconry service entered without further rank. The cage fittings are to be inspected before release, though no fault is presently recorded. Feed, hood, jesses, and mews-work are listed under his charge when required. No canonical physical traits or distinctive visual features are established for Ignatz Cindervale. No canonical temperament or emotional disposition is established for him either. This absence is not to be mistaken for innocence, loyalty, or courage; the ledger records only what may be proved, and proves little here.</w:t>
            </w:r>
          </w:p>
        </w:tc>
      </w:tr>
      <w:tr>
        <w:tc>
          <w:tcPr>
            <w:tcW w:type="dxa" w:w="2880"/>
          </w:tcPr>
          <w:p>
            <w:r>
              <w:t>Maelis Harrowick the Pale</w:t>
            </w:r>
          </w:p>
        </w:tc>
        <w:tc>
          <w:tcPr>
            <w:tcW w:type="dxa" w:w="2880"/>
          </w:tcPr>
          <w:p>
            <w:r>
              <w:t>Major Court Chronicler. Born in 340 AS.</w:t>
            </w:r>
          </w:p>
        </w:tc>
        <w:tc>
          <w:tcPr>
            <w:tcW w:type="dxa" w:w="2880"/>
          </w:tcPr>
          <w:p>
            <w:r>
              <w:t>Court papers received under the epithet the Pale. No canonical physical features are established for Maelis Harrowick the Pale; the epithet and the formal station of Court Chronicler define Maelis’s visual identity. Their manner, as observed through the handling of records, carries the restrained, watchful atmosphere of a chronicler concealing treason against their liege. The wording is mine, though the unease is not.</w:t>
            </w:r>
          </w:p>
        </w:tc>
      </w:tr>
    </w:tbl>
    <w:p>
      <w:pPr>
        <w:pStyle w:val="Heading2"/>
      </w:pPr>
      <w:r>
        <w:t>Disbursement and Retention</w:t>
      </w:r>
    </w:p>
    <w:p>
      <w:r>
        <w:t>No stores are to be issued to a Court Chronicler merely because the seal bears court authority. Ink, parchment, sealing wax, and covered lamps remain subject to the ordinary scrutiny of the quartermaster’s office. A record may be cleanly copied and still conceal a dirty purpose.</w:t>
      </w:r>
    </w:p>
    <w:p>
      <w:r>
        <w:t>The Falconer’s materials are to be kept apart from court papers. This is not an accusation against Ignatz Cindervale, who is a minor figure of the Ashen Era and serves as a Falconer. It is a precaution against careless hands, loose feathers, and messages that travel farther than provisions.</w:t>
      </w:r>
    </w:p>
    <w:p>
      <w:r>
        <w:t>Concerning Maelis Harrowick the Pale, the central entry is amended and under seal: Maelis plotted the death of their own liege. Whether the plot was completed, failed, or merely discovered is not entered here. I will not supply what the ledger cannot support. Let the chroniclers quarrel over motive; the quartermaster records danger where danger has shown its face.</w:t>
      </w:r>
    </w:p>
    <w:p>
      <w:r>
        <w:t>Both entries are to remain open. No physical description is to be invented for either person. No disposition is to be assigned to Ignatz without testimony. No softening phrase is to be added to Maelis’s treason. If this book is later called false, it will at least have lied in the proper columns.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