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Sermon of the Unmarked Herb</w:t>
      </w:r>
    </w:p>
    <w:p>
      <w:r>
        <w:t>Attend, ash-burdened souls, and do not despise the small names written in the margins.</w:t>
      </w:r>
    </w:p>
    <w:p>
      <w:r>
        <w:t>The record speaks of Halvard Crowhurst. It does not call him lord, champion, prince, or martyr. It calls him a minor character. Yet what is a minor character in the sight of the grave? The grave makes no distinction between the hand that held a sword and the hand that crushed a leaf. Both are emptied. Both are judged by what they carried while breath remained.</w:t>
      </w:r>
    </w:p>
    <w:p>
      <w:r>
        <w:t>Halvard Crowhurst serves as an Herbalist. Remember this. He is not praised here for a deed the record has forgotten, nor condemned for a sin the record has preserved. He stands among roots, bitter stalks, drying bundles, and the patient knowledge of what may soothe and what may kill. The mighty demand banners. The sick demand remedies. The proud may mock the one who knows the virtue of a weed, but pride has never lowered a fever.</w:t>
      </w:r>
    </w:p>
    <w:p>
      <w:r>
        <w:t>He was born in 252 AS. Mark the year, though you may not know the hour, the season, or the hands that received him. A birth is a door opened in darkness. We are not promised that the door leads to renown. We are promised only that someone crossed its threshold.</w:t>
      </w:r>
    </w:p>
    <w:p>
      <w:r>
        <w:t>Some ask what Halvard Crowhurst looked like. The record gives no answer. No physical features are recorded; his visual identity is associated with the work of an Herbalist. Therefore picture no noble brow, no scarred cheek, no radiant eyes. Picture instead the labor: fingers stained by sap, a knife worn smooth from use, the hanging shadow of herbs upon a wall. If this picture is false, it is no more false than the portraits painted for kings who were never seen clearly by their own servants.</w:t>
      </w:r>
    </w:p>
    <w:p>
      <w:r>
        <w:t>And what of his heart? No temperament is recorded. Do not make him gentle because he prepares medicines. Do not make him cruel because silence surrounds his name. Do not grant him courage, cowardice, kindness, or spite merely because your tongue hungers for a complete tale. The unrecorded soul is still a soul, and invention is a poor substitute for judgment.</w:t>
      </w:r>
    </w:p>
    <w:p>
      <w:r>
        <w:t>So learn from Halvard Crowhurst, minor though the record declares him. Serve where service is required. Keep faith with the work placed before you. Let no one tell you that obscurity is the same as worthlessness. The ash covers roots before spring, yet roots remain beneath it.</w:t>
      </w:r>
    </w:p>
    <w:p>
      <w:r>
        <w:t>When your own name fades, may the world remember at least this: you were present, and you did what your hands were given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