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4.png" ContentType="image/png"/>
  <Override PartName="/word/media/rId30.png" ContentType="image/png"/>
  <Override PartName="/word/media/rId32.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ExoSpec</w:t>
      </w:r>
      <w:r>
        <w:t xml:space="preserve"> </w:t>
      </w:r>
      <w:r>
        <w:t xml:space="preserve">Methods</w:t>
      </w:r>
      <w:r>
        <w:t xml:space="preserve"> </w:t>
      </w:r>
      <w:r>
        <w:t xml:space="preserve">&amp;</w:t>
      </w:r>
      <w:r>
        <w:t xml:space="preserve"> </w:t>
      </w:r>
      <w:r>
        <w:t xml:space="preserve">Results</w:t>
      </w:r>
    </w:p>
    <w:p>
      <w:pPr>
        <w:pStyle w:val="Author"/>
      </w:pPr>
      <w:r>
        <w:t xml:space="preserve">Shea</w:t>
      </w:r>
      <w:r>
        <w:t xml:space="preserve"> </w:t>
      </w:r>
      <w:r>
        <w:t xml:space="preserve">P.</w:t>
      </w:r>
      <w:r>
        <w:t xml:space="preserve"> </w:t>
      </w:r>
      <w:r>
        <w:t xml:space="preserve">Connell</w:t>
      </w:r>
    </w:p>
    <w:p>
      <w:pPr>
        <w:pStyle w:val="Date"/>
      </w:pPr>
      <w:r>
        <w:t xml:space="preserve">04/10/2019</w:t>
      </w:r>
    </w:p>
    <w:p>
      <w:pPr>
        <w:pStyle w:val="Heading1"/>
      </w:pPr>
      <w:bookmarkStart w:id="20" w:name="introduction"/>
      <w:r>
        <w:t xml:space="preserve">Introduction</w:t>
      </w:r>
      <w:bookmarkEnd w:id="20"/>
    </w:p>
    <w:p>
      <w:pPr>
        <w:pStyle w:val="FirstParagraph"/>
      </w:pPr>
      <w:r>
        <w:t xml:space="preserve">This is placeholder text for the introduction - depending on journal this may be considered copyrighted.</w:t>
      </w:r>
    </w:p>
    <w:p>
      <w:pPr>
        <w:pStyle w:val="Heading1"/>
      </w:pPr>
      <w:bookmarkStart w:id="21" w:name="methods"/>
      <w:r>
        <w:t xml:space="preserve">Methods</w:t>
      </w:r>
      <w:bookmarkEnd w:id="21"/>
    </w:p>
    <w:p>
      <w:pPr>
        <w:pStyle w:val="Heading3"/>
      </w:pPr>
      <w:bookmarkStart w:id="22" w:name="patient-population-and-characteristics"/>
      <w:r>
        <w:t xml:space="preserve">Patient population and characteristics</w:t>
      </w:r>
      <w:bookmarkEnd w:id="22"/>
    </w:p>
    <w:p>
      <w:pPr>
        <w:pStyle w:val="Heading3"/>
      </w:pPr>
      <w:bookmarkStart w:id="23" w:name="sample-processing-and-analysis"/>
      <w:r>
        <w:t xml:space="preserve">Sample Processing and analysis</w:t>
      </w:r>
      <w:bookmarkEnd w:id="23"/>
    </w:p>
    <w:p>
      <w:pPr>
        <w:pStyle w:val="Heading3"/>
      </w:pPr>
      <w:bookmarkStart w:id="24" w:name="statistical-analysis"/>
      <w:r>
        <w:t xml:space="preserve">Statistical Analysis</w:t>
      </w:r>
      <w:bookmarkEnd w:id="24"/>
    </w:p>
    <w:p>
      <w:pPr>
        <w:pStyle w:val="FirstParagraph"/>
      </w:pPr>
      <w:r>
        <w:rPr>
          <w:i/>
        </w:rPr>
        <w:t xml:space="preserve">A priori</w:t>
      </w:r>
      <w:r>
        <w:t xml:space="preserve"> </w:t>
      </w:r>
      <w:r>
        <w:t xml:space="preserve">filtering of peptides was undertaken by only retaining peptides quantified in at least 30% of either cancer or non-cancer samples.</w:t>
      </w:r>
    </w:p>
    <w:p>
      <w:pPr>
        <w:pStyle w:val="Heading1"/>
      </w:pPr>
      <w:bookmarkStart w:id="25" w:name="results"/>
      <w:r>
        <w:t xml:space="preserve">Results</w:t>
      </w:r>
      <w:bookmarkEnd w:id="25"/>
    </w:p>
    <w:p>
      <w:pPr>
        <w:pStyle w:val="FirstParagraph"/>
      </w:pPr>
      <w:r>
        <w:rPr>
          <w:b/>
        </w:rPr>
        <w:t xml:space="preserve">Table 1.</w:t>
      </w:r>
      <w:r>
        <w:t xml:space="preserve"> </w:t>
      </w:r>
      <w:r>
        <w:rPr>
          <w:i/>
        </w:rPr>
        <w:t xml:space="preserve">Characteristics of the ExoSpec development cohort.</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Biopsy Negative:</w:t>
            </w:r>
          </w:p>
        </w:tc>
        <w:tc>
          <w:tcPr>
            <w:tcBorders>
              <w:bottom w:val="single"/>
            </w:tcBorders>
            <w:vAlign w:val="bottom"/>
          </w:tcPr>
          <w:p>
            <w:pPr>
              <w:pStyle w:val="Compact"/>
              <w:jc w:val="left"/>
            </w:pPr>
            <w:r>
              <w:t xml:space="preserve">Biopsy Positive</w:t>
            </w:r>
          </w:p>
        </w:tc>
      </w:tr>
      <w:tr>
        <w:tc>
          <w:p>
            <w:pPr>
              <w:pStyle w:val="Compact"/>
              <w:jc w:val="left"/>
            </w:pPr>
            <w:r>
              <w:rPr>
                <w:b/>
              </w:rPr>
              <w:t xml:space="preserve">Collection Centre:</w:t>
            </w:r>
          </w:p>
        </w:tc>
        <w:tc>
          <w:p>
            <w:pPr>
              <w:pStyle w:val="Compact"/>
              <w:jc w:val="left"/>
            </w:pPr>
            <w:r>
              <w:t xml:space="preserve">  </w:t>
            </w:r>
          </w:p>
        </w:tc>
        <w:tc>
          <w:p>
            <w:pPr>
              <w:pStyle w:val="Compact"/>
              <w:jc w:val="left"/>
            </w:pPr>
            <w:r>
              <w:t xml:space="preserve">  </w:t>
            </w:r>
          </w:p>
        </w:tc>
      </w:tr>
      <w:tr>
        <w:tc>
          <w:p>
            <w:pPr>
              <w:pStyle w:val="Compact"/>
              <w:jc w:val="left"/>
            </w:pPr>
            <w:r>
              <w:t xml:space="preserve">   NNUH, n (%)</w:t>
            </w:r>
          </w:p>
        </w:tc>
        <w:tc>
          <w:p>
            <w:pPr>
              <w:pStyle w:val="Compact"/>
              <w:jc w:val="left"/>
            </w:pPr>
            <w:r>
              <w:t xml:space="preserve">59 (100)</w:t>
            </w:r>
          </w:p>
        </w:tc>
        <w:tc>
          <w:p>
            <w:pPr>
              <w:pStyle w:val="Compact"/>
              <w:jc w:val="left"/>
            </w:pPr>
            <w:r>
              <w:t xml:space="preserve">133 (100)</w:t>
            </w:r>
          </w:p>
        </w:tc>
      </w:tr>
      <w:tr>
        <w:tc>
          <w:p>
            <w:pPr>
              <w:pStyle w:val="Compact"/>
              <w:jc w:val="left"/>
            </w:pPr>
            <w:r>
              <w:rPr>
                <w:b/>
              </w:rPr>
              <w:t xml:space="preserve">Age:</w:t>
            </w:r>
          </w:p>
        </w:tc>
        <w:tc>
          <w:p>
            <w:pPr>
              <w:pStyle w:val="Compact"/>
              <w:jc w:val="left"/>
            </w:pPr>
            <w:r>
              <w:t xml:space="preserve">  </w:t>
            </w:r>
          </w:p>
        </w:tc>
        <w:tc>
          <w:p>
            <w:pPr>
              <w:pStyle w:val="Compact"/>
              <w:jc w:val="left"/>
            </w:pPr>
            <w:r>
              <w:t xml:space="preserve">  </w:t>
            </w:r>
          </w:p>
        </w:tc>
      </w:tr>
      <w:tr>
        <w:tc>
          <w:p>
            <w:pPr>
              <w:pStyle w:val="Compact"/>
              <w:jc w:val="left"/>
            </w:pPr>
            <w:r>
              <w:t xml:space="preserve">   minimum</w:t>
            </w:r>
          </w:p>
        </w:tc>
        <w:tc>
          <w:p>
            <w:pPr>
              <w:pStyle w:val="Compact"/>
              <w:jc w:val="left"/>
            </w:pPr>
            <w:r>
              <w:t xml:space="preserve">45.00</w:t>
            </w:r>
          </w:p>
        </w:tc>
        <w:tc>
          <w:p>
            <w:pPr>
              <w:pStyle w:val="Compact"/>
              <w:jc w:val="left"/>
            </w:pPr>
            <w:r>
              <w:t xml:space="preserve">53.00</w:t>
            </w:r>
          </w:p>
        </w:tc>
      </w:tr>
      <w:tr>
        <w:tc>
          <w:p>
            <w:pPr>
              <w:pStyle w:val="Compact"/>
              <w:jc w:val="left"/>
            </w:pPr>
            <w:r>
              <w:t xml:space="preserve">   median (IQR)</w:t>
            </w:r>
          </w:p>
        </w:tc>
        <w:tc>
          <w:p>
            <w:pPr>
              <w:pStyle w:val="Compact"/>
              <w:jc w:val="left"/>
            </w:pPr>
            <w:r>
              <w:t xml:space="preserve">67.00 (59.50, 71.00)</w:t>
            </w:r>
          </w:p>
        </w:tc>
        <w:tc>
          <w:p>
            <w:pPr>
              <w:pStyle w:val="Compact"/>
              <w:jc w:val="left"/>
            </w:pPr>
            <w:r>
              <w:t xml:space="preserve">70.00 (65.00, 76.00)</w:t>
            </w:r>
          </w:p>
        </w:tc>
      </w:tr>
      <w:tr>
        <w:tc>
          <w:p>
            <w:pPr>
              <w:pStyle w:val="Compact"/>
              <w:jc w:val="left"/>
            </w:pPr>
            <w:r>
              <w:t xml:space="preserve">   mean (sd)</w:t>
            </w:r>
          </w:p>
        </w:tc>
        <w:tc>
          <w:p>
            <w:pPr>
              <w:pStyle w:val="Compact"/>
              <w:jc w:val="left"/>
            </w:pPr>
            <w:r>
              <w:t xml:space="preserve">66.15 ± 8.30</w:t>
            </w:r>
          </w:p>
        </w:tc>
        <w:tc>
          <w:p>
            <w:pPr>
              <w:pStyle w:val="Compact"/>
              <w:jc w:val="left"/>
            </w:pPr>
            <w:r>
              <w:t xml:space="preserve">70.23 ± 7.81</w:t>
            </w:r>
          </w:p>
        </w:tc>
      </w:tr>
      <w:tr>
        <w:tc>
          <w:p>
            <w:pPr>
              <w:pStyle w:val="Compact"/>
              <w:jc w:val="left"/>
            </w:pPr>
            <w:r>
              <w:t xml:space="preserve">   maximum</w:t>
            </w:r>
          </w:p>
        </w:tc>
        <w:tc>
          <w:p>
            <w:pPr>
              <w:pStyle w:val="Compact"/>
              <w:jc w:val="left"/>
            </w:pPr>
            <w:r>
              <w:t xml:space="preserve">82.00</w:t>
            </w:r>
          </w:p>
        </w:tc>
        <w:tc>
          <w:p>
            <w:pPr>
              <w:pStyle w:val="Compact"/>
              <w:jc w:val="left"/>
            </w:pPr>
            <w:r>
              <w:t xml:space="preserve">91.00</w:t>
            </w:r>
          </w:p>
        </w:tc>
      </w:tr>
      <w:tr>
        <w:tc>
          <w:p>
            <w:pPr>
              <w:pStyle w:val="Compact"/>
              <w:jc w:val="left"/>
            </w:pPr>
            <w:r>
              <w:rPr>
                <w:b/>
              </w:rPr>
              <w:t xml:space="preserve">PSA:</w:t>
            </w:r>
          </w:p>
        </w:tc>
        <w:tc>
          <w:p>
            <w:pPr>
              <w:pStyle w:val="Compact"/>
              <w:jc w:val="left"/>
            </w:pPr>
            <w:r>
              <w:t xml:space="preserve">  </w:t>
            </w:r>
          </w:p>
        </w:tc>
        <w:tc>
          <w:p>
            <w:pPr>
              <w:pStyle w:val="Compact"/>
              <w:jc w:val="left"/>
            </w:pPr>
            <w:r>
              <w:t xml:space="preserve">  </w:t>
            </w:r>
          </w:p>
        </w:tc>
      </w:tr>
      <w:tr>
        <w:tc>
          <w:p>
            <w:pPr>
              <w:pStyle w:val="Compact"/>
              <w:jc w:val="left"/>
            </w:pPr>
            <w:r>
              <w:t xml:space="preserve">   minimum</w:t>
            </w:r>
          </w:p>
        </w:tc>
        <w:tc>
          <w:p>
            <w:pPr>
              <w:pStyle w:val="Compact"/>
              <w:jc w:val="left"/>
            </w:pPr>
            <w:r>
              <w:t xml:space="preserve">0.30</w:t>
            </w:r>
          </w:p>
        </w:tc>
        <w:tc>
          <w:p>
            <w:pPr>
              <w:pStyle w:val="Compact"/>
              <w:jc w:val="left"/>
            </w:pPr>
            <w:r>
              <w:t xml:space="preserve">4.10</w:t>
            </w:r>
          </w:p>
        </w:tc>
      </w:tr>
      <w:tr>
        <w:tc>
          <w:p>
            <w:pPr>
              <w:pStyle w:val="Compact"/>
              <w:jc w:val="left"/>
            </w:pPr>
            <w:r>
              <w:t xml:space="preserve">   median (IQR)</w:t>
            </w:r>
          </w:p>
        </w:tc>
        <w:tc>
          <w:p>
            <w:pPr>
              <w:pStyle w:val="Compact"/>
              <w:jc w:val="left"/>
            </w:pPr>
            <w:r>
              <w:t xml:space="preserve">5.30 (2.30, 7.95)</w:t>
            </w:r>
          </w:p>
        </w:tc>
        <w:tc>
          <w:p>
            <w:pPr>
              <w:pStyle w:val="Compact"/>
              <w:jc w:val="left"/>
            </w:pPr>
            <w:r>
              <w:t xml:space="preserve">10.40 (6.90, 16.60)</w:t>
            </w:r>
          </w:p>
        </w:tc>
      </w:tr>
      <w:tr>
        <w:tc>
          <w:p>
            <w:pPr>
              <w:pStyle w:val="Compact"/>
              <w:jc w:val="left"/>
            </w:pPr>
            <w:r>
              <w:t xml:space="preserve">   mean (sd)</w:t>
            </w:r>
          </w:p>
        </w:tc>
        <w:tc>
          <w:p>
            <w:pPr>
              <w:pStyle w:val="Compact"/>
              <w:jc w:val="left"/>
            </w:pPr>
            <w:r>
              <w:t xml:space="preserve">6.44 ± 5.96</w:t>
            </w:r>
          </w:p>
        </w:tc>
        <w:tc>
          <w:p>
            <w:pPr>
              <w:pStyle w:val="Compact"/>
              <w:jc w:val="left"/>
            </w:pPr>
            <w:r>
              <w:t xml:space="preserve">16.81 ± 17.36</w:t>
            </w:r>
          </w:p>
        </w:tc>
      </w:tr>
      <w:tr>
        <w:tc>
          <w:p>
            <w:pPr>
              <w:pStyle w:val="Compact"/>
              <w:jc w:val="left"/>
            </w:pPr>
            <w:r>
              <w:t xml:space="preserve">   maximum</w:t>
            </w:r>
          </w:p>
        </w:tc>
        <w:tc>
          <w:p>
            <w:pPr>
              <w:pStyle w:val="Compact"/>
              <w:jc w:val="left"/>
            </w:pPr>
            <w:r>
              <w:t xml:space="preserve">30.30</w:t>
            </w:r>
          </w:p>
        </w:tc>
        <w:tc>
          <w:p>
            <w:pPr>
              <w:pStyle w:val="Compact"/>
              <w:jc w:val="left"/>
            </w:pPr>
            <w:r>
              <w:t xml:space="preserve">95.90</w:t>
            </w:r>
          </w:p>
        </w:tc>
      </w:tr>
      <w:tr>
        <w:tc>
          <w:p>
            <w:pPr>
              <w:pStyle w:val="Compact"/>
              <w:jc w:val="left"/>
            </w:pPr>
            <w:r>
              <w:rPr>
                <w:b/>
              </w:rPr>
              <w:t xml:space="preserve">Prostate Size (DRE Estimate):</w:t>
            </w:r>
          </w:p>
        </w:tc>
        <w:tc>
          <w:p>
            <w:pPr>
              <w:pStyle w:val="Compact"/>
              <w:jc w:val="left"/>
            </w:pPr>
            <w:r>
              <w:t xml:space="preserve">  </w:t>
            </w:r>
          </w:p>
        </w:tc>
        <w:tc>
          <w:p>
            <w:pPr>
              <w:pStyle w:val="Compact"/>
              <w:jc w:val="left"/>
            </w:pPr>
            <w:r>
              <w:t xml:space="preserve">  </w:t>
            </w:r>
          </w:p>
        </w:tc>
      </w:tr>
      <w:tr>
        <w:tc>
          <w:p>
            <w:pPr>
              <w:pStyle w:val="Compact"/>
              <w:jc w:val="left"/>
            </w:pPr>
            <w:r>
              <w:t xml:space="preserve">   Small, n (%)</w:t>
            </w:r>
          </w:p>
        </w:tc>
        <w:tc>
          <w:p>
            <w:pPr>
              <w:pStyle w:val="Compact"/>
              <w:jc w:val="left"/>
            </w:pPr>
            <w:r>
              <w:t xml:space="preserve">16 (27)</w:t>
            </w:r>
          </w:p>
        </w:tc>
        <w:tc>
          <w:p>
            <w:pPr>
              <w:pStyle w:val="Compact"/>
              <w:jc w:val="left"/>
            </w:pPr>
            <w:r>
              <w:t xml:space="preserve">12 (9)</w:t>
            </w:r>
          </w:p>
        </w:tc>
      </w:tr>
      <w:tr>
        <w:tc>
          <w:p>
            <w:pPr>
              <w:pStyle w:val="Compact"/>
              <w:jc w:val="left"/>
            </w:pPr>
            <w:r>
              <w:t xml:space="preserve">   Medium, n (%)</w:t>
            </w:r>
          </w:p>
        </w:tc>
        <w:tc>
          <w:p>
            <w:pPr>
              <w:pStyle w:val="Compact"/>
              <w:jc w:val="left"/>
            </w:pPr>
            <w:r>
              <w:t xml:space="preserve">25 (42)</w:t>
            </w:r>
          </w:p>
        </w:tc>
        <w:tc>
          <w:p>
            <w:pPr>
              <w:pStyle w:val="Compact"/>
              <w:jc w:val="left"/>
            </w:pPr>
            <w:r>
              <w:t xml:space="preserve">67 (50)</w:t>
            </w:r>
          </w:p>
        </w:tc>
      </w:tr>
      <w:tr>
        <w:tc>
          <w:p>
            <w:pPr>
              <w:pStyle w:val="Compact"/>
              <w:jc w:val="left"/>
            </w:pPr>
            <w:r>
              <w:t xml:space="preserve">   Large, n (%)</w:t>
            </w:r>
          </w:p>
        </w:tc>
        <w:tc>
          <w:p>
            <w:pPr>
              <w:pStyle w:val="Compact"/>
              <w:jc w:val="left"/>
            </w:pPr>
            <w:r>
              <w:t xml:space="preserve">14 (24)</w:t>
            </w:r>
          </w:p>
        </w:tc>
        <w:tc>
          <w:p>
            <w:pPr>
              <w:pStyle w:val="Compact"/>
              <w:jc w:val="left"/>
            </w:pPr>
            <w:r>
              <w:t xml:space="preserve">38 (29)</w:t>
            </w:r>
          </w:p>
        </w:tc>
      </w:tr>
      <w:tr>
        <w:tc>
          <w:p>
            <w:pPr>
              <w:pStyle w:val="Compact"/>
              <w:jc w:val="left"/>
            </w:pPr>
            <w:r>
              <w:t xml:space="preserve">   Unknown, n (%)</w:t>
            </w:r>
          </w:p>
        </w:tc>
        <w:tc>
          <w:p>
            <w:pPr>
              <w:pStyle w:val="Compact"/>
              <w:jc w:val="left"/>
            </w:pPr>
            <w:r>
              <w:t xml:space="preserve">4 (7)</w:t>
            </w:r>
          </w:p>
        </w:tc>
        <w:tc>
          <w:p>
            <w:pPr>
              <w:pStyle w:val="Compact"/>
              <w:jc w:val="left"/>
            </w:pPr>
            <w:r>
              <w:t xml:space="preserve">16 (12)</w:t>
            </w:r>
          </w:p>
        </w:tc>
      </w:tr>
      <w:tr>
        <w:tc>
          <w:p>
            <w:pPr>
              <w:pStyle w:val="Compact"/>
              <w:jc w:val="left"/>
            </w:pPr>
            <w:r>
              <w:rPr>
                <w:b/>
              </w:rPr>
              <w:t xml:space="preserve">Gleason Score:</w:t>
            </w:r>
          </w:p>
        </w:tc>
        <w:tc>
          <w:p>
            <w:pPr>
              <w:pStyle w:val="Compact"/>
              <w:jc w:val="left"/>
            </w:pPr>
            <w:r>
              <w:t xml:space="preserve">  </w:t>
            </w:r>
          </w:p>
        </w:tc>
        <w:tc>
          <w:p>
            <w:pPr>
              <w:pStyle w:val="Compact"/>
              <w:jc w:val="left"/>
            </w:pPr>
            <w:r>
              <w:t xml:space="preserve">  </w:t>
            </w:r>
          </w:p>
        </w:tc>
      </w:tr>
      <w:tr>
        <w:tc>
          <w:p>
            <w:pPr>
              <w:pStyle w:val="Compact"/>
              <w:jc w:val="left"/>
            </w:pPr>
            <w:r>
              <w:t xml:space="preserve">   0, n (%)</w:t>
            </w:r>
          </w:p>
        </w:tc>
        <w:tc>
          <w:p>
            <w:pPr>
              <w:pStyle w:val="Compact"/>
              <w:jc w:val="left"/>
            </w:pPr>
            <w:r>
              <w:t xml:space="preserve">59 (100)</w:t>
            </w:r>
          </w:p>
        </w:tc>
        <w:tc>
          <w:p>
            <w:pPr>
              <w:pStyle w:val="Compact"/>
              <w:jc w:val="left"/>
            </w:pPr>
            <w:r>
              <w:t xml:space="preserve">0 (0)</w:t>
            </w:r>
          </w:p>
        </w:tc>
      </w:tr>
      <w:tr>
        <w:tc>
          <w:p>
            <w:pPr>
              <w:pStyle w:val="Compact"/>
              <w:jc w:val="left"/>
            </w:pPr>
            <w:r>
              <w:t xml:space="preserve">   6, n (%)</w:t>
            </w:r>
          </w:p>
        </w:tc>
        <w:tc>
          <w:p>
            <w:pPr>
              <w:pStyle w:val="Compact"/>
              <w:jc w:val="left"/>
            </w:pPr>
            <w:r>
              <w:t xml:space="preserve">0 (0)</w:t>
            </w:r>
          </w:p>
        </w:tc>
        <w:tc>
          <w:p>
            <w:pPr>
              <w:pStyle w:val="Compact"/>
              <w:jc w:val="left"/>
            </w:pPr>
            <w:r>
              <w:t xml:space="preserve">31 (23)</w:t>
            </w:r>
          </w:p>
        </w:tc>
      </w:tr>
      <w:tr>
        <w:tc>
          <w:p>
            <w:pPr>
              <w:pStyle w:val="Compact"/>
              <w:jc w:val="left"/>
            </w:pPr>
            <w:r>
              <w:t xml:space="preserve">   3+4, n (%)</w:t>
            </w:r>
          </w:p>
        </w:tc>
        <w:tc>
          <w:p>
            <w:pPr>
              <w:pStyle w:val="Compact"/>
              <w:jc w:val="left"/>
            </w:pPr>
            <w:r>
              <w:t xml:space="preserve">0 (0)</w:t>
            </w:r>
          </w:p>
        </w:tc>
        <w:tc>
          <w:p>
            <w:pPr>
              <w:pStyle w:val="Compact"/>
              <w:jc w:val="left"/>
            </w:pPr>
            <w:r>
              <w:t xml:space="preserve">48 (36)</w:t>
            </w:r>
          </w:p>
        </w:tc>
      </w:tr>
      <w:tr>
        <w:tc>
          <w:p>
            <w:pPr>
              <w:pStyle w:val="Compact"/>
              <w:jc w:val="left"/>
            </w:pPr>
            <w:r>
              <w:t xml:space="preserve">   4+3, n (%)</w:t>
            </w:r>
          </w:p>
        </w:tc>
        <w:tc>
          <w:p>
            <w:pPr>
              <w:pStyle w:val="Compact"/>
              <w:jc w:val="left"/>
            </w:pPr>
            <w:r>
              <w:t xml:space="preserve">0 (0)</w:t>
            </w:r>
          </w:p>
        </w:tc>
        <w:tc>
          <w:p>
            <w:pPr>
              <w:pStyle w:val="Compact"/>
              <w:jc w:val="left"/>
            </w:pPr>
            <w:r>
              <w:t xml:space="preserve">25 (19)</w:t>
            </w:r>
          </w:p>
        </w:tc>
      </w:tr>
      <w:tr>
        <w:tc>
          <w:p>
            <w:pPr>
              <w:pStyle w:val="Compact"/>
              <w:jc w:val="left"/>
            </w:pPr>
            <w:r>
              <w:t xml:space="preserve">   ≥ 8, n (%)</w:t>
            </w:r>
          </w:p>
        </w:tc>
        <w:tc>
          <w:p>
            <w:pPr>
              <w:pStyle w:val="Compact"/>
              <w:jc w:val="left"/>
            </w:pPr>
            <w:r>
              <w:t xml:space="preserve">0 (0)</w:t>
            </w:r>
          </w:p>
        </w:tc>
        <w:tc>
          <w:p>
            <w:pPr>
              <w:pStyle w:val="Compact"/>
              <w:jc w:val="left"/>
            </w:pPr>
            <w:r>
              <w:t xml:space="preserve">29 (22)</w:t>
            </w:r>
          </w:p>
        </w:tc>
      </w:tr>
      <w:tr>
        <w:tc>
          <w:p>
            <w:pPr>
              <w:pStyle w:val="Compact"/>
              <w:jc w:val="left"/>
            </w:pPr>
            <w:r>
              <w:rPr>
                <w:b/>
              </w:rPr>
              <w:t xml:space="preserve">Biopsy_Result</w:t>
            </w:r>
          </w:p>
        </w:tc>
        <w:tc>
          <w:p>
            <w:pPr>
              <w:pStyle w:val="Compact"/>
              <w:jc w:val="left"/>
            </w:pPr>
            <w:r>
              <w:t xml:space="preserve">  </w:t>
            </w:r>
          </w:p>
        </w:tc>
        <w:tc>
          <w:p>
            <w:pPr>
              <w:pStyle w:val="Compact"/>
              <w:jc w:val="left"/>
            </w:pPr>
            <w:r>
              <w:t xml:space="preserve">  </w:t>
            </w:r>
          </w:p>
        </w:tc>
      </w:tr>
      <w:tr>
        <w:tc>
          <w:p>
            <w:pPr>
              <w:pStyle w:val="Compact"/>
              <w:jc w:val="left"/>
            </w:pPr>
            <w:r>
              <w:t xml:space="preserve">   Biopsy Negative</w:t>
            </w:r>
          </w:p>
        </w:tc>
        <w:tc>
          <w:p>
            <w:pPr>
              <w:pStyle w:val="Compact"/>
              <w:jc w:val="left"/>
            </w:pPr>
            <w:r>
              <w:t xml:space="preserve">59 (100)</w:t>
            </w:r>
          </w:p>
        </w:tc>
        <w:tc>
          <w:p>
            <w:pPr>
              <w:pStyle w:val="Compact"/>
              <w:jc w:val="left"/>
            </w:pPr>
            <w:r>
              <w:t xml:space="preserve">0 (0)</w:t>
            </w:r>
          </w:p>
        </w:tc>
      </w:tr>
      <w:tr>
        <w:tc>
          <w:p>
            <w:pPr>
              <w:pStyle w:val="Compact"/>
              <w:jc w:val="left"/>
            </w:pPr>
            <w:r>
              <w:t xml:space="preserve">   Biopsy Positive</w:t>
            </w:r>
          </w:p>
        </w:tc>
        <w:tc>
          <w:p>
            <w:pPr>
              <w:pStyle w:val="Compact"/>
              <w:jc w:val="left"/>
            </w:pPr>
            <w:r>
              <w:t xml:space="preserve">0 (0)</w:t>
            </w:r>
          </w:p>
        </w:tc>
        <w:tc>
          <w:p>
            <w:pPr>
              <w:pStyle w:val="Compact"/>
              <w:jc w:val="left"/>
            </w:pPr>
            <w:r>
              <w:t xml:space="preserve">133 (100)</w:t>
            </w:r>
          </w:p>
        </w:tc>
      </w:tr>
    </w:tbl>
    <w:tbl>
      <w:tblPr>
        <w:tblStyle w:val="Table"/>
        <w:tblW w:type="pct" w:w="5000.0"/>
        <w:tblLook w:firstRow="1"/>
      </w:tblPr>
      <w:tblGrid>
        <w:gridCol w:w="749"/>
        <w:gridCol w:w="909"/>
        <w:gridCol w:w="1016"/>
        <w:gridCol w:w="1177"/>
        <w:gridCol w:w="909"/>
        <w:gridCol w:w="1070"/>
        <w:gridCol w:w="963"/>
        <w:gridCol w:w="1123"/>
      </w:tblGrid>
      <w:tr>
        <w:trPr>
          <w:cnfStyle w:firstRow="1"/>
        </w:trPr>
        <w:tc>
          <w:tcPr>
            <w:tcBorders>
              <w:bottom w:val="single"/>
            </w:tcBorders>
            <w:vAlign w:val="bottom"/>
          </w:tcPr>
          <w:p>
            <w:pPr>
              <w:pStyle w:val="Compact"/>
              <w:jc w:val="right"/>
            </w:pPr>
            <w:r>
              <w:t xml:space="preserve">SoC Variables</w:t>
            </w:r>
          </w:p>
        </w:tc>
        <w:tc>
          <w:tcPr>
            <w:tcBorders>
              <w:bottom w:val="single"/>
            </w:tcBorders>
            <w:vAlign w:val="bottom"/>
          </w:tcPr>
          <w:p>
            <w:pPr>
              <w:pStyle w:val="Compact"/>
              <w:jc w:val="right"/>
            </w:pPr>
            <w:r>
              <w:t xml:space="preserve">SoC Coefficients</w:t>
            </w:r>
          </w:p>
        </w:tc>
        <w:tc>
          <w:tcPr>
            <w:tcBorders>
              <w:bottom w:val="single"/>
            </w:tcBorders>
            <w:vAlign w:val="bottom"/>
          </w:tcPr>
          <w:p>
            <w:pPr>
              <w:pStyle w:val="Compact"/>
              <w:jc w:val="right"/>
            </w:pPr>
            <w:r>
              <w:t xml:space="preserve">MassSpec Variables</w:t>
            </w:r>
          </w:p>
        </w:tc>
        <w:tc>
          <w:tcPr>
            <w:tcBorders>
              <w:bottom w:val="single"/>
            </w:tcBorders>
            <w:vAlign w:val="bottom"/>
          </w:tcPr>
          <w:p>
            <w:pPr>
              <w:pStyle w:val="Compact"/>
              <w:jc w:val="right"/>
            </w:pPr>
            <w:r>
              <w:t xml:space="preserve">MassSpec Coefficients</w:t>
            </w:r>
          </w:p>
        </w:tc>
        <w:tc>
          <w:tcPr>
            <w:tcBorders>
              <w:bottom w:val="single"/>
            </w:tcBorders>
            <w:vAlign w:val="bottom"/>
          </w:tcPr>
          <w:p>
            <w:pPr>
              <w:pStyle w:val="Compact"/>
              <w:jc w:val="right"/>
            </w:pPr>
            <w:r>
              <w:t xml:space="preserve">ExoRNA Variables</w:t>
            </w:r>
          </w:p>
        </w:tc>
        <w:tc>
          <w:tcPr>
            <w:tcBorders>
              <w:bottom w:val="single"/>
            </w:tcBorders>
            <w:vAlign w:val="bottom"/>
          </w:tcPr>
          <w:p>
            <w:pPr>
              <w:pStyle w:val="Compact"/>
              <w:jc w:val="right"/>
            </w:pPr>
            <w:r>
              <w:t xml:space="preserve">ExoRNA Coefficients</w:t>
            </w:r>
          </w:p>
        </w:tc>
        <w:tc>
          <w:tcPr>
            <w:tcBorders>
              <w:bottom w:val="single"/>
            </w:tcBorders>
            <w:vAlign w:val="bottom"/>
          </w:tcPr>
          <w:p>
            <w:pPr>
              <w:pStyle w:val="Compact"/>
              <w:jc w:val="right"/>
            </w:pPr>
            <w:r>
              <w:t xml:space="preserve">ExoSpec Variables</w:t>
            </w:r>
          </w:p>
        </w:tc>
        <w:tc>
          <w:tcPr>
            <w:tcBorders>
              <w:bottom w:val="single"/>
            </w:tcBorders>
            <w:vAlign w:val="bottom"/>
          </w:tcPr>
          <w:p>
            <w:pPr>
              <w:pStyle w:val="Compact"/>
              <w:jc w:val="right"/>
            </w:pPr>
            <w:r>
              <w:t xml:space="preserve">ExoSpec Coefficients</w:t>
            </w:r>
          </w:p>
        </w:tc>
      </w:tr>
      <w:tr>
        <w:tc>
          <w:p>
            <w:pPr>
              <w:pStyle w:val="Compact"/>
              <w:jc w:val="right"/>
            </w:pPr>
            <w:r>
              <w:t xml:space="preserve">PSA</w:t>
            </w:r>
          </w:p>
        </w:tc>
        <w:tc>
          <w:p>
            <w:pPr>
              <w:pStyle w:val="Compact"/>
              <w:jc w:val="right"/>
            </w:pPr>
            <w:r>
              <w:t xml:space="preserve">0.009958</w:t>
            </w:r>
          </w:p>
        </w:tc>
        <w:tc>
          <w:p>
            <w:pPr>
              <w:pStyle w:val="Compact"/>
              <w:jc w:val="right"/>
            </w:pPr>
            <w:r>
              <w:t xml:space="preserve">e01149</w:t>
            </w:r>
          </w:p>
        </w:tc>
        <w:tc>
          <w:p>
            <w:pPr>
              <w:pStyle w:val="Compact"/>
              <w:jc w:val="right"/>
            </w:pPr>
            <w:r>
              <w:t xml:space="preserve">0.011925</w:t>
            </w:r>
          </w:p>
        </w:tc>
        <w:tc>
          <w:p>
            <w:pPr>
              <w:pStyle w:val="Compact"/>
              <w:jc w:val="right"/>
            </w:pPr>
            <w:r>
              <w:t xml:space="preserve">ERG3 exons 4-5</w:t>
            </w:r>
          </w:p>
        </w:tc>
        <w:tc>
          <w:p>
            <w:pPr>
              <w:pStyle w:val="Compact"/>
              <w:jc w:val="right"/>
            </w:pPr>
            <w:r>
              <w:t xml:space="preserve">0.006925</w:t>
            </w:r>
          </w:p>
        </w:tc>
        <w:tc>
          <w:p>
            <w:pPr>
              <w:pStyle w:val="Compact"/>
              <w:jc w:val="right"/>
            </w:pPr>
            <w:r>
              <w:t xml:space="preserve">PSA</w:t>
            </w:r>
          </w:p>
        </w:tc>
        <w:tc>
          <w:p>
            <w:pPr>
              <w:pStyle w:val="Compact"/>
              <w:jc w:val="right"/>
            </w:pPr>
            <w:r>
              <w:t xml:space="preserve">0.009169</w:t>
            </w:r>
          </w:p>
        </w:tc>
      </w:tr>
      <w:tr>
        <w:tc>
          <w:p>
            <w:pPr>
              <w:pStyle w:val="Compact"/>
              <w:jc w:val="right"/>
            </w:pPr>
            <w:r>
              <w:t xml:space="preserve">Age</w:t>
            </w:r>
          </w:p>
        </w:tc>
        <w:tc>
          <w:p>
            <w:pPr>
              <w:pStyle w:val="Compact"/>
              <w:jc w:val="right"/>
            </w:pPr>
            <w:r>
              <w:t xml:space="preserve">0.007041</w:t>
            </w:r>
          </w:p>
        </w:tc>
        <w:tc>
          <w:p>
            <w:pPr>
              <w:pStyle w:val="Compact"/>
              <w:jc w:val="right"/>
            </w:pPr>
            <w:r>
              <w:t xml:space="preserve">e03180</w:t>
            </w:r>
          </w:p>
        </w:tc>
        <w:tc>
          <w:p>
            <w:pPr>
              <w:pStyle w:val="Compact"/>
              <w:jc w:val="right"/>
            </w:pPr>
            <w:r>
              <w:t xml:space="preserve">-0.010655</w:t>
            </w:r>
          </w:p>
        </w:tc>
        <w:tc>
          <w:p>
            <w:pPr>
              <w:pStyle w:val="Compact"/>
              <w:jc w:val="right"/>
            </w:pPr>
            <w:r>
              <w:t xml:space="preserve">PCA3</w:t>
            </w:r>
          </w:p>
        </w:tc>
        <w:tc>
          <w:p>
            <w:pPr>
              <w:pStyle w:val="Compact"/>
              <w:jc w:val="right"/>
            </w:pPr>
            <w:r>
              <w:t xml:space="preserve">0.072146</w:t>
            </w:r>
          </w:p>
        </w:tc>
        <w:tc>
          <w:p>
            <w:pPr>
              <w:pStyle w:val="Compact"/>
              <w:jc w:val="right"/>
            </w:pPr>
            <w:r>
              <w:t xml:space="preserve">Age</w:t>
            </w:r>
          </w:p>
        </w:tc>
        <w:tc>
          <w:p>
            <w:pPr>
              <w:pStyle w:val="Compact"/>
              <w:jc w:val="right"/>
            </w:pPr>
            <w:r>
              <w:t xml:space="preserve">0.004097</w:t>
            </w:r>
          </w:p>
        </w:tc>
      </w:tr>
      <w:tr>
        <w:tc>
          <w:p>
            <w:pPr>
              <w:pStyle w:val="Compact"/>
            </w:pPr>
          </w:p>
        </w:tc>
        <w:tc>
          <w:p>
            <w:pPr>
              <w:pStyle w:val="Compact"/>
            </w:pPr>
          </w:p>
        </w:tc>
        <w:tc>
          <w:p>
            <w:pPr>
              <w:pStyle w:val="Compact"/>
              <w:jc w:val="right"/>
            </w:pPr>
            <w:r>
              <w:t xml:space="preserve">e03322</w:t>
            </w:r>
          </w:p>
        </w:tc>
        <w:tc>
          <w:p>
            <w:pPr>
              <w:pStyle w:val="Compact"/>
              <w:jc w:val="right"/>
            </w:pPr>
            <w:r>
              <w:t xml:space="preserve">-0.009228</w:t>
            </w:r>
          </w:p>
        </w:tc>
        <w:tc>
          <w:p>
            <w:pPr>
              <w:pStyle w:val="Compact"/>
              <w:jc w:val="right"/>
            </w:pPr>
            <w:r>
              <w:t xml:space="preserve">SERPINB5/Maspin</w:t>
            </w:r>
          </w:p>
        </w:tc>
        <w:tc>
          <w:p>
            <w:pPr>
              <w:pStyle w:val="Compact"/>
              <w:jc w:val="right"/>
            </w:pPr>
            <w:r>
              <w:t xml:space="preserve">-0.012714</w:t>
            </w:r>
          </w:p>
        </w:tc>
        <w:tc>
          <w:p>
            <w:pPr>
              <w:pStyle w:val="Compact"/>
              <w:jc w:val="right"/>
            </w:pPr>
            <w:r>
              <w:t xml:space="preserve">e03608</w:t>
            </w:r>
          </w:p>
        </w:tc>
        <w:tc>
          <w:p>
            <w:pPr>
              <w:pStyle w:val="Compact"/>
              <w:jc w:val="right"/>
            </w:pPr>
            <w:r>
              <w:t xml:space="preserve">0.001122</w:t>
            </w:r>
          </w:p>
        </w:tc>
      </w:tr>
      <w:tr>
        <w:tc>
          <w:p>
            <w:pPr>
              <w:pStyle w:val="Compact"/>
            </w:pPr>
          </w:p>
        </w:tc>
        <w:tc>
          <w:p>
            <w:pPr>
              <w:pStyle w:val="Compact"/>
            </w:pPr>
          </w:p>
        </w:tc>
        <w:tc>
          <w:p>
            <w:pPr>
              <w:pStyle w:val="Compact"/>
              <w:jc w:val="right"/>
            </w:pPr>
            <w:r>
              <w:t xml:space="preserve">e05455</w:t>
            </w:r>
          </w:p>
        </w:tc>
        <w:tc>
          <w:p>
            <w:pPr>
              <w:pStyle w:val="Compact"/>
              <w:jc w:val="right"/>
            </w:pPr>
            <w:r>
              <w:t xml:space="preserve">0.011084</w:t>
            </w:r>
          </w:p>
        </w:tc>
        <w:tc>
          <w:p>
            <w:pPr>
              <w:pStyle w:val="Compact"/>
              <w:jc w:val="right"/>
            </w:pPr>
            <w:r>
              <w:t xml:space="preserve">SLC12A1</w:t>
            </w:r>
          </w:p>
        </w:tc>
        <w:tc>
          <w:p>
            <w:pPr>
              <w:pStyle w:val="Compact"/>
              <w:jc w:val="right"/>
            </w:pPr>
            <w:r>
              <w:t xml:space="preserve">0.045846</w:t>
            </w:r>
          </w:p>
        </w:tc>
        <w:tc>
          <w:p>
            <w:pPr>
              <w:pStyle w:val="Compact"/>
              <w:jc w:val="right"/>
            </w:pPr>
            <w:r>
              <w:t xml:space="preserve">e05579</w:t>
            </w:r>
          </w:p>
        </w:tc>
        <w:tc>
          <w:p>
            <w:pPr>
              <w:pStyle w:val="Compact"/>
              <w:jc w:val="right"/>
            </w:pPr>
            <w:r>
              <w:t xml:space="preserve">0.004501</w:t>
            </w:r>
          </w:p>
        </w:tc>
      </w:tr>
      <w:tr>
        <w:tc>
          <w:p>
            <w:pPr>
              <w:pStyle w:val="Compact"/>
            </w:pPr>
          </w:p>
        </w:tc>
        <w:tc>
          <w:p>
            <w:pPr>
              <w:pStyle w:val="Compact"/>
            </w:pPr>
          </w:p>
        </w:tc>
        <w:tc>
          <w:p>
            <w:pPr>
              <w:pStyle w:val="Compact"/>
              <w:jc w:val="right"/>
            </w:pPr>
            <w:r>
              <w:t xml:space="preserve">e05751</w:t>
            </w:r>
          </w:p>
        </w:tc>
        <w:tc>
          <w:p>
            <w:pPr>
              <w:pStyle w:val="Compact"/>
              <w:jc w:val="right"/>
            </w:pPr>
            <w:r>
              <w:t xml:space="preserve">0.02384</w:t>
            </w:r>
          </w:p>
        </w:tc>
        <w:tc>
          <w:p>
            <w:pPr>
              <w:pStyle w:val="Compact"/>
              <w:jc w:val="right"/>
            </w:pPr>
            <w:r>
              <w:t xml:space="preserve">SNORA20</w:t>
            </w:r>
          </w:p>
        </w:tc>
        <w:tc>
          <w:p>
            <w:pPr>
              <w:pStyle w:val="Compact"/>
              <w:jc w:val="right"/>
            </w:pPr>
            <w:r>
              <w:t xml:space="preserve">-0.002422</w:t>
            </w:r>
          </w:p>
        </w:tc>
        <w:tc>
          <w:p>
            <w:pPr>
              <w:pStyle w:val="Compact"/>
              <w:jc w:val="right"/>
            </w:pPr>
            <w:r>
              <w:t xml:space="preserve">e05751</w:t>
            </w:r>
          </w:p>
        </w:tc>
        <w:tc>
          <w:p>
            <w:pPr>
              <w:pStyle w:val="Compact"/>
              <w:jc w:val="right"/>
            </w:pPr>
            <w:r>
              <w:t xml:space="preserve">0.003628</w:t>
            </w:r>
          </w:p>
        </w:tc>
      </w:tr>
      <w:tr>
        <w:tc>
          <w:p>
            <w:pPr>
              <w:pStyle w:val="Compact"/>
            </w:pPr>
          </w:p>
        </w:tc>
        <w:tc>
          <w:p>
            <w:pPr>
              <w:pStyle w:val="Compact"/>
            </w:pPr>
          </w:p>
        </w:tc>
        <w:tc>
          <w:p>
            <w:pPr>
              <w:pStyle w:val="Compact"/>
              <w:jc w:val="right"/>
            </w:pPr>
            <w:r>
              <w:t xml:space="preserve">e07985</w:t>
            </w:r>
          </w:p>
        </w:tc>
        <w:tc>
          <w:p>
            <w:pPr>
              <w:pStyle w:val="Compact"/>
              <w:jc w:val="right"/>
            </w:pPr>
            <w:r>
              <w:t xml:space="preserve">0.002774</w:t>
            </w:r>
          </w:p>
        </w:tc>
        <w:tc>
          <w:p>
            <w:pPr>
              <w:pStyle w:val="Compact"/>
              <w:jc w:val="right"/>
            </w:pPr>
            <w:r>
              <w:t xml:space="preserve">TMEM45B</w:t>
            </w:r>
          </w:p>
        </w:tc>
        <w:tc>
          <w:p>
            <w:pPr>
              <w:pStyle w:val="Compact"/>
              <w:jc w:val="right"/>
            </w:pPr>
            <w:r>
              <w:t xml:space="preserve">0.02199</w:t>
            </w:r>
          </w:p>
        </w:tc>
        <w:tc>
          <w:p>
            <w:pPr>
              <w:pStyle w:val="Compact"/>
              <w:jc w:val="right"/>
            </w:pPr>
            <w:r>
              <w:t xml:space="preserve">e08713</w:t>
            </w:r>
          </w:p>
        </w:tc>
        <w:tc>
          <w:p>
            <w:pPr>
              <w:pStyle w:val="Compact"/>
              <w:jc w:val="right"/>
            </w:pPr>
            <w:r>
              <w:t xml:space="preserve">-0.001253</w:t>
            </w:r>
          </w:p>
        </w:tc>
      </w:tr>
      <w:tr>
        <w:tc>
          <w:p>
            <w:pPr>
              <w:pStyle w:val="Compact"/>
            </w:pPr>
          </w:p>
        </w:tc>
        <w:tc>
          <w:p>
            <w:pPr>
              <w:pStyle w:val="Compact"/>
            </w:pPr>
          </w:p>
        </w:tc>
        <w:tc>
          <w:p>
            <w:pPr>
              <w:pStyle w:val="Compact"/>
              <w:jc w:val="right"/>
            </w:pPr>
            <w:r>
              <w:t xml:space="preserve">e08713</w:t>
            </w:r>
          </w:p>
        </w:tc>
        <w:tc>
          <w:p>
            <w:pPr>
              <w:pStyle w:val="Compact"/>
              <w:jc w:val="right"/>
            </w:pPr>
            <w:r>
              <w:t xml:space="preserve">-0.012363</w:t>
            </w:r>
          </w:p>
        </w:tc>
        <w:tc>
          <w:p>
            <w:pPr>
              <w:pStyle w:val="Compact"/>
            </w:pPr>
          </w:p>
        </w:tc>
        <w:tc>
          <w:p>
            <w:pPr>
              <w:pStyle w:val="Compact"/>
            </w:pPr>
          </w:p>
        </w:tc>
        <w:tc>
          <w:p>
            <w:pPr>
              <w:pStyle w:val="Compact"/>
              <w:jc w:val="right"/>
            </w:pPr>
            <w:r>
              <w:t xml:space="preserve">e12906</w:t>
            </w:r>
          </w:p>
        </w:tc>
        <w:tc>
          <w:p>
            <w:pPr>
              <w:pStyle w:val="Compact"/>
              <w:jc w:val="right"/>
            </w:pPr>
            <w:r>
              <w:t xml:space="preserve">0.012288</w:t>
            </w:r>
          </w:p>
        </w:tc>
      </w:tr>
      <w:tr>
        <w:tc>
          <w:p>
            <w:pPr>
              <w:pStyle w:val="Compact"/>
            </w:pPr>
          </w:p>
        </w:tc>
        <w:tc>
          <w:p>
            <w:pPr>
              <w:pStyle w:val="Compact"/>
            </w:pPr>
          </w:p>
        </w:tc>
        <w:tc>
          <w:p>
            <w:pPr>
              <w:pStyle w:val="Compact"/>
              <w:jc w:val="right"/>
            </w:pPr>
            <w:r>
              <w:t xml:space="preserve">e09542</w:t>
            </w:r>
          </w:p>
        </w:tc>
        <w:tc>
          <w:p>
            <w:pPr>
              <w:pStyle w:val="Compact"/>
              <w:jc w:val="right"/>
            </w:pPr>
            <w:r>
              <w:t xml:space="preserve">0.009638</w:t>
            </w:r>
          </w:p>
        </w:tc>
        <w:tc>
          <w:p>
            <w:pPr>
              <w:pStyle w:val="Compact"/>
            </w:pPr>
          </w:p>
        </w:tc>
        <w:tc>
          <w:p>
            <w:pPr>
              <w:pStyle w:val="Compact"/>
            </w:pPr>
          </w:p>
        </w:tc>
        <w:tc>
          <w:p>
            <w:pPr>
              <w:pStyle w:val="Compact"/>
              <w:jc w:val="right"/>
            </w:pPr>
            <w:r>
              <w:t xml:space="preserve">e17491</w:t>
            </w:r>
          </w:p>
        </w:tc>
        <w:tc>
          <w:p>
            <w:pPr>
              <w:pStyle w:val="Compact"/>
              <w:jc w:val="right"/>
            </w:pPr>
            <w:r>
              <w:t xml:space="preserve">0.001549</w:t>
            </w:r>
          </w:p>
        </w:tc>
      </w:tr>
      <w:tr>
        <w:tc>
          <w:p>
            <w:pPr>
              <w:pStyle w:val="Compact"/>
            </w:pPr>
          </w:p>
        </w:tc>
        <w:tc>
          <w:p>
            <w:pPr>
              <w:pStyle w:val="Compact"/>
            </w:pPr>
          </w:p>
        </w:tc>
        <w:tc>
          <w:p>
            <w:pPr>
              <w:pStyle w:val="Compact"/>
              <w:jc w:val="right"/>
            </w:pPr>
            <w:r>
              <w:t xml:space="preserve">e12163</w:t>
            </w:r>
          </w:p>
        </w:tc>
        <w:tc>
          <w:p>
            <w:pPr>
              <w:pStyle w:val="Compact"/>
              <w:jc w:val="right"/>
            </w:pPr>
            <w:r>
              <w:t xml:space="preserve">-0.003992</w:t>
            </w:r>
          </w:p>
        </w:tc>
        <w:tc>
          <w:p>
            <w:pPr>
              <w:pStyle w:val="Compact"/>
            </w:pPr>
          </w:p>
        </w:tc>
        <w:tc>
          <w:p>
            <w:pPr>
              <w:pStyle w:val="Compact"/>
            </w:pPr>
          </w:p>
        </w:tc>
        <w:tc>
          <w:p>
            <w:pPr>
              <w:pStyle w:val="Compact"/>
              <w:jc w:val="right"/>
            </w:pPr>
            <w:r>
              <w:t xml:space="preserve">e08713</w:t>
            </w:r>
          </w:p>
        </w:tc>
        <w:tc>
          <w:p>
            <w:pPr>
              <w:pStyle w:val="Compact"/>
              <w:jc w:val="right"/>
            </w:pPr>
            <w:r>
              <w:t xml:space="preserve">-2.4e-05</w:t>
            </w:r>
          </w:p>
        </w:tc>
      </w:tr>
      <w:tr>
        <w:tc>
          <w:p>
            <w:pPr>
              <w:pStyle w:val="Compact"/>
            </w:pPr>
          </w:p>
        </w:tc>
        <w:tc>
          <w:p>
            <w:pPr>
              <w:pStyle w:val="Compact"/>
            </w:pPr>
          </w:p>
        </w:tc>
        <w:tc>
          <w:p>
            <w:pPr>
              <w:pStyle w:val="Compact"/>
              <w:jc w:val="right"/>
            </w:pPr>
            <w:r>
              <w:t xml:space="preserve">e12906</w:t>
            </w:r>
          </w:p>
        </w:tc>
        <w:tc>
          <w:p>
            <w:pPr>
              <w:pStyle w:val="Compact"/>
              <w:jc w:val="right"/>
            </w:pPr>
            <w:r>
              <w:t xml:space="preserve">0.019524</w:t>
            </w:r>
          </w:p>
        </w:tc>
        <w:tc>
          <w:p>
            <w:pPr>
              <w:pStyle w:val="Compact"/>
            </w:pPr>
          </w:p>
        </w:tc>
        <w:tc>
          <w:p>
            <w:pPr>
              <w:pStyle w:val="Compact"/>
            </w:pPr>
          </w:p>
        </w:tc>
        <w:tc>
          <w:p>
            <w:pPr>
              <w:pStyle w:val="Compact"/>
              <w:jc w:val="right"/>
            </w:pPr>
            <w:r>
              <w:t xml:space="preserve">ERG3 exons 4-5</w:t>
            </w:r>
          </w:p>
        </w:tc>
        <w:tc>
          <w:p>
            <w:pPr>
              <w:pStyle w:val="Compact"/>
              <w:jc w:val="right"/>
            </w:pPr>
            <w:r>
              <w:t xml:space="preserve">0.007908</w:t>
            </w:r>
          </w:p>
        </w:tc>
      </w:tr>
      <w:tr>
        <w:tc>
          <w:p>
            <w:pPr>
              <w:pStyle w:val="Compact"/>
            </w:pPr>
          </w:p>
        </w:tc>
        <w:tc>
          <w:p>
            <w:pPr>
              <w:pStyle w:val="Compact"/>
            </w:pPr>
          </w:p>
        </w:tc>
        <w:tc>
          <w:p>
            <w:pPr>
              <w:pStyle w:val="Compact"/>
              <w:jc w:val="right"/>
            </w:pPr>
            <w:r>
              <w:t xml:space="preserve">e15320</w:t>
            </w:r>
          </w:p>
        </w:tc>
        <w:tc>
          <w:p>
            <w:pPr>
              <w:pStyle w:val="Compact"/>
              <w:jc w:val="right"/>
            </w:pPr>
            <w:r>
              <w:t xml:space="preserve">-0.003608</w:t>
            </w:r>
          </w:p>
        </w:tc>
        <w:tc>
          <w:p>
            <w:pPr>
              <w:pStyle w:val="Compact"/>
            </w:pPr>
          </w:p>
        </w:tc>
        <w:tc>
          <w:p>
            <w:pPr>
              <w:pStyle w:val="Compact"/>
            </w:pPr>
          </w:p>
        </w:tc>
        <w:tc>
          <w:p>
            <w:pPr>
              <w:pStyle w:val="Compact"/>
              <w:jc w:val="right"/>
            </w:pPr>
            <w:r>
              <w:t xml:space="preserve">PCA3</w:t>
            </w:r>
          </w:p>
        </w:tc>
        <w:tc>
          <w:p>
            <w:pPr>
              <w:pStyle w:val="Compact"/>
              <w:jc w:val="right"/>
            </w:pPr>
            <w:r>
              <w:t xml:space="preserve">0.062057</w:t>
            </w:r>
          </w:p>
        </w:tc>
      </w:tr>
      <w:tr>
        <w:tc>
          <w:p>
            <w:pPr>
              <w:pStyle w:val="Compact"/>
            </w:pPr>
          </w:p>
        </w:tc>
        <w:tc>
          <w:p>
            <w:pPr>
              <w:pStyle w:val="Compact"/>
            </w:pPr>
          </w:p>
        </w:tc>
        <w:tc>
          <w:p>
            <w:pPr>
              <w:pStyle w:val="Compact"/>
              <w:jc w:val="right"/>
            </w:pPr>
            <w:r>
              <w:t xml:space="preserve">e16540</w:t>
            </w:r>
          </w:p>
        </w:tc>
        <w:tc>
          <w:p>
            <w:pPr>
              <w:pStyle w:val="Compact"/>
              <w:jc w:val="right"/>
            </w:pPr>
            <w:r>
              <w:t xml:space="preserve">-0.0035</w:t>
            </w:r>
          </w:p>
        </w:tc>
        <w:tc>
          <w:p>
            <w:pPr>
              <w:pStyle w:val="Compact"/>
            </w:pPr>
          </w:p>
        </w:tc>
        <w:tc>
          <w:p>
            <w:pPr>
              <w:pStyle w:val="Compact"/>
            </w:pPr>
          </w:p>
        </w:tc>
        <w:tc>
          <w:p>
            <w:pPr>
              <w:pStyle w:val="Compact"/>
              <w:jc w:val="right"/>
            </w:pPr>
            <w:r>
              <w:t xml:space="preserve">SLC12A1</w:t>
            </w:r>
          </w:p>
        </w:tc>
        <w:tc>
          <w:p>
            <w:pPr>
              <w:pStyle w:val="Compact"/>
              <w:jc w:val="right"/>
            </w:pPr>
            <w:r>
              <w:t xml:space="preserve">0.035865</w:t>
            </w:r>
          </w:p>
        </w:tc>
      </w:tr>
      <w:tr>
        <w:tc>
          <w:p>
            <w:pPr>
              <w:pStyle w:val="Compact"/>
            </w:pPr>
          </w:p>
        </w:tc>
        <w:tc>
          <w:p>
            <w:pPr>
              <w:pStyle w:val="Compact"/>
            </w:pPr>
          </w:p>
        </w:tc>
        <w:tc>
          <w:p>
            <w:pPr>
              <w:pStyle w:val="Compact"/>
              <w:jc w:val="right"/>
            </w:pPr>
            <w:r>
              <w:t xml:space="preserve">e17491</w:t>
            </w:r>
          </w:p>
        </w:tc>
        <w:tc>
          <w:p>
            <w:pPr>
              <w:pStyle w:val="Compact"/>
              <w:jc w:val="right"/>
            </w:pPr>
            <w:r>
              <w:t xml:space="preserve">0.013475</w:t>
            </w:r>
          </w:p>
        </w:tc>
        <w:tc>
          <w:p>
            <w:pPr>
              <w:pStyle w:val="Compact"/>
            </w:pPr>
          </w:p>
        </w:tc>
        <w:tc>
          <w:p>
            <w:pPr>
              <w:pStyle w:val="Compact"/>
            </w:pPr>
          </w:p>
        </w:tc>
        <w:tc>
          <w:p>
            <w:pPr>
              <w:pStyle w:val="Compact"/>
            </w:pPr>
          </w:p>
        </w:tc>
        <w:tc>
          <w:p>
            <w:pPr>
              <w:pStyle w:val="Compact"/>
            </w:pPr>
          </w:p>
        </w:tc>
      </w:tr>
      <w:tr>
        <w:tc>
          <w:p>
            <w:pPr>
              <w:pStyle w:val="Compact"/>
            </w:pPr>
          </w:p>
        </w:tc>
        <w:tc>
          <w:p>
            <w:pPr>
              <w:pStyle w:val="Compact"/>
            </w:pPr>
          </w:p>
        </w:tc>
        <w:tc>
          <w:p>
            <w:pPr>
              <w:pStyle w:val="Compact"/>
              <w:jc w:val="right"/>
            </w:pPr>
            <w:r>
              <w:t xml:space="preserve">e01149</w:t>
            </w:r>
          </w:p>
        </w:tc>
        <w:tc>
          <w:p>
            <w:pPr>
              <w:pStyle w:val="Compact"/>
              <w:jc w:val="right"/>
            </w:pPr>
            <w:r>
              <w:t xml:space="preserve">0.000455</w:t>
            </w:r>
          </w:p>
        </w:tc>
        <w:tc>
          <w:p>
            <w:pPr>
              <w:pStyle w:val="Compact"/>
            </w:pPr>
          </w:p>
        </w:tc>
        <w:tc>
          <w:p>
            <w:pPr>
              <w:pStyle w:val="Compact"/>
            </w:pPr>
          </w:p>
        </w:tc>
        <w:tc>
          <w:p>
            <w:pPr>
              <w:pStyle w:val="Compact"/>
            </w:pPr>
          </w:p>
        </w:tc>
        <w:tc>
          <w:p>
            <w:pPr>
              <w:pStyle w:val="Compact"/>
            </w:pPr>
          </w:p>
        </w:tc>
      </w:tr>
      <w:tr>
        <w:tc>
          <w:p>
            <w:pPr>
              <w:pStyle w:val="Compact"/>
            </w:pPr>
          </w:p>
        </w:tc>
        <w:tc>
          <w:p>
            <w:pPr>
              <w:pStyle w:val="Compact"/>
            </w:pPr>
          </w:p>
        </w:tc>
        <w:tc>
          <w:p>
            <w:pPr>
              <w:pStyle w:val="Compact"/>
              <w:jc w:val="right"/>
            </w:pPr>
            <w:r>
              <w:t xml:space="preserve">e03180</w:t>
            </w:r>
          </w:p>
        </w:tc>
        <w:tc>
          <w:p>
            <w:pPr>
              <w:pStyle w:val="Compact"/>
              <w:jc w:val="right"/>
            </w:pPr>
            <w:r>
              <w:t xml:space="preserve">-0.00014</w:t>
            </w:r>
          </w:p>
        </w:tc>
        <w:tc>
          <w:p>
            <w:pPr>
              <w:pStyle w:val="Compact"/>
            </w:pPr>
          </w:p>
        </w:tc>
        <w:tc>
          <w:p>
            <w:pPr>
              <w:pStyle w:val="Compact"/>
            </w:pPr>
          </w:p>
        </w:tc>
        <w:tc>
          <w:p>
            <w:pPr>
              <w:pStyle w:val="Compact"/>
            </w:pPr>
          </w:p>
        </w:tc>
        <w:tc>
          <w:p>
            <w:pPr>
              <w:pStyle w:val="Compact"/>
            </w:pPr>
          </w:p>
        </w:tc>
      </w:tr>
      <w:tr>
        <w:tc>
          <w:p>
            <w:pPr>
              <w:pStyle w:val="Compact"/>
            </w:pPr>
          </w:p>
        </w:tc>
        <w:tc>
          <w:p>
            <w:pPr>
              <w:pStyle w:val="Compact"/>
            </w:pPr>
          </w:p>
        </w:tc>
        <w:tc>
          <w:p>
            <w:pPr>
              <w:pStyle w:val="Compact"/>
              <w:jc w:val="right"/>
            </w:pPr>
            <w:r>
              <w:t xml:space="preserve">e03322</w:t>
            </w:r>
          </w:p>
        </w:tc>
        <w:tc>
          <w:p>
            <w:pPr>
              <w:pStyle w:val="Compact"/>
              <w:jc w:val="right"/>
            </w:pPr>
            <w:r>
              <w:t xml:space="preserve">-1.1e-05</w:t>
            </w:r>
          </w:p>
        </w:tc>
        <w:tc>
          <w:p>
            <w:pPr>
              <w:pStyle w:val="Compact"/>
            </w:pPr>
          </w:p>
        </w:tc>
        <w:tc>
          <w:p>
            <w:pPr>
              <w:pStyle w:val="Compact"/>
            </w:pPr>
          </w:p>
        </w:tc>
        <w:tc>
          <w:p>
            <w:pPr>
              <w:pStyle w:val="Compact"/>
            </w:pPr>
          </w:p>
        </w:tc>
        <w:tc>
          <w:p>
            <w:pPr>
              <w:pStyle w:val="Compact"/>
            </w:pPr>
          </w:p>
        </w:tc>
      </w:tr>
      <w:tr>
        <w:tc>
          <w:p>
            <w:pPr>
              <w:pStyle w:val="Compact"/>
            </w:pPr>
          </w:p>
        </w:tc>
        <w:tc>
          <w:p>
            <w:pPr>
              <w:pStyle w:val="Compact"/>
            </w:pPr>
          </w:p>
        </w:tc>
        <w:tc>
          <w:p>
            <w:pPr>
              <w:pStyle w:val="Compact"/>
              <w:jc w:val="right"/>
            </w:pPr>
            <w:r>
              <w:t xml:space="preserve">e08713</w:t>
            </w:r>
          </w:p>
        </w:tc>
        <w:tc>
          <w:p>
            <w:pPr>
              <w:pStyle w:val="Compact"/>
              <w:jc w:val="right"/>
            </w:pPr>
            <w:r>
              <w:t xml:space="preserve">-4e-06</w:t>
            </w:r>
          </w:p>
        </w:tc>
        <w:tc>
          <w:p>
            <w:pPr>
              <w:pStyle w:val="Compact"/>
            </w:pPr>
          </w:p>
        </w:tc>
        <w:tc>
          <w:p>
            <w:pPr>
              <w:pStyle w:val="Compact"/>
            </w:pPr>
          </w:p>
        </w:tc>
        <w:tc>
          <w:p>
            <w:pPr>
              <w:pStyle w:val="Compact"/>
            </w:pPr>
          </w:p>
        </w:tc>
        <w:tc>
          <w:p>
            <w:pPr>
              <w:pStyle w:val="Compact"/>
            </w:pPr>
          </w:p>
        </w:tc>
      </w:tr>
    </w:tbl>
    <w:p>
      <w:pPr>
        <w:pStyle w:val="Heading3"/>
      </w:pPr>
      <w:bookmarkStart w:id="26" w:name="exospec-predictive-ability"/>
      <w:r>
        <w:t xml:space="preserve">ExoSpec predictive ability</w:t>
      </w:r>
      <w:bookmarkEnd w:id="26"/>
    </w:p>
    <w:p>
      <w:pPr>
        <w:pStyle w:val="FirstParagraph"/>
      </w:pPr>
      <w:r>
        <w:t xml:space="preserve">As ExoSpec Risk Score (range 0-1) increased, the likelihood of high-grade disease being detected on biopsy was significantly greater (Proportional odds ratio = 2.25 per 0.1 ExoSpec increase, 95% CI: 1.9 - 2.69; ordinal logistic regression,</w:t>
      </w:r>
      <w:r>
        <w:t xml:space="preserve"> </w:t>
      </w:r>
      <w:r>
        <w:rPr>
          <w:b/>
        </w:rPr>
        <w:t xml:space="preserve">Figure 2</w:t>
      </w:r>
      <w:r>
        <w:t xml:space="preserve">).</w:t>
      </w:r>
    </w:p>
    <w:p>
      <w:pPr>
        <w:pStyle w:val="BodyText"/>
      </w:pPr>
      <w:r>
        <w:rPr>
          <w:b/>
        </w:rPr>
        <w:t xml:space="preserve">Table 2.</w:t>
      </w:r>
      <w:r>
        <w:t xml:space="preserve"> </w:t>
      </w:r>
      <w:r>
        <w:rPr>
          <w:i/>
        </w:rPr>
        <w:t xml:space="preserve">AUC of all trained models for detecting outcomes of an initial biopsy for varying clinically significant thresholds. Brackets show 95% confidence intervals of the AUC, calculated from 1,000 stratified bootstrap resamples. Input variables for each model are detailed in Table 1.</w:t>
      </w:r>
    </w:p>
    <w:tbl>
      <w:tblPr>
        <w:tblStyle w:val="Table"/>
        <w:tblW w:type="pct" w:w="5000.0"/>
        <w:tblLook w:firstRow="1"/>
      </w:tblPr>
      <w:tblGrid>
        <w:gridCol w:w="1900"/>
        <w:gridCol w:w="1504"/>
        <w:gridCol w:w="1504"/>
        <w:gridCol w:w="1504"/>
        <w:gridCol w:w="1504"/>
      </w:tblGrid>
      <w:tr>
        <w:trPr>
          <w:cnfStyle w:firstRow="1"/>
        </w:trPr>
        <w:tc>
          <w:tcPr>
            <w:tcBorders>
              <w:bottom w:val="single"/>
            </w:tcBorders>
            <w:vAlign w:val="bottom"/>
          </w:tcPr>
          <w:p>
            <w:pPr>
              <w:pStyle w:val="Compact"/>
              <w:jc w:val="right"/>
            </w:pPr>
            <w:r>
              <w:t xml:space="preserve">Initial biopsy outcome:</w:t>
            </w:r>
          </w:p>
        </w:tc>
        <w:tc>
          <w:tcPr>
            <w:tcBorders>
              <w:bottom w:val="single"/>
            </w:tcBorders>
            <w:vAlign w:val="bottom"/>
          </w:tcPr>
          <w:p>
            <w:pPr>
              <w:pStyle w:val="Compact"/>
              <w:jc w:val="right"/>
            </w:pPr>
            <w:r>
              <w:t xml:space="preserve">SoC</w:t>
            </w:r>
          </w:p>
        </w:tc>
        <w:tc>
          <w:tcPr>
            <w:tcBorders>
              <w:bottom w:val="single"/>
            </w:tcBorders>
            <w:vAlign w:val="bottom"/>
          </w:tcPr>
          <w:p>
            <w:pPr>
              <w:pStyle w:val="Compact"/>
              <w:jc w:val="right"/>
            </w:pPr>
            <w:r>
              <w:t xml:space="preserve">MassSpec</w:t>
            </w:r>
          </w:p>
        </w:tc>
        <w:tc>
          <w:tcPr>
            <w:tcBorders>
              <w:bottom w:val="single"/>
            </w:tcBorders>
            <w:vAlign w:val="bottom"/>
          </w:tcPr>
          <w:p>
            <w:pPr>
              <w:pStyle w:val="Compact"/>
              <w:jc w:val="right"/>
            </w:pPr>
            <w:r>
              <w:t xml:space="preserve">ExoRNA</w:t>
            </w:r>
          </w:p>
        </w:tc>
        <w:tc>
          <w:tcPr>
            <w:tcBorders>
              <w:bottom w:val="single"/>
            </w:tcBorders>
            <w:vAlign w:val="bottom"/>
          </w:tcPr>
          <w:p>
            <w:pPr>
              <w:pStyle w:val="Compact"/>
              <w:jc w:val="right"/>
            </w:pPr>
            <w:r>
              <w:t xml:space="preserve">ExoSpec</w:t>
            </w:r>
          </w:p>
        </w:tc>
      </w:tr>
      <w:tr>
        <w:tc>
          <w:p>
            <w:pPr>
              <w:pStyle w:val="Compact"/>
              <w:jc w:val="right"/>
            </w:pPr>
            <w:r>
              <w:t xml:space="preserve">Gleason ≥4+3:</w:t>
            </w:r>
          </w:p>
        </w:tc>
        <w:tc>
          <w:p>
            <w:pPr>
              <w:pStyle w:val="Compact"/>
              <w:jc w:val="right"/>
            </w:pPr>
            <w:r>
              <w:t xml:space="preserve">0.76 (0.69 - 0.83)</w:t>
            </w:r>
          </w:p>
        </w:tc>
        <w:tc>
          <w:p>
            <w:pPr>
              <w:pStyle w:val="Compact"/>
              <w:jc w:val="right"/>
            </w:pPr>
            <w:r>
              <w:t xml:space="preserve">0.68 (0.60 - 0.76)</w:t>
            </w:r>
          </w:p>
        </w:tc>
        <w:tc>
          <w:p>
            <w:pPr>
              <w:pStyle w:val="Compact"/>
              <w:jc w:val="right"/>
            </w:pPr>
            <w:r>
              <w:t xml:space="preserve">0.67 (0.58 - 0.75)</w:t>
            </w:r>
          </w:p>
        </w:tc>
        <w:tc>
          <w:p>
            <w:pPr>
              <w:pStyle w:val="Compact"/>
              <w:jc w:val="right"/>
            </w:pPr>
            <w:r>
              <w:t xml:space="preserve">0.83 (0.76 - 0.89)</w:t>
            </w:r>
          </w:p>
        </w:tc>
      </w:tr>
      <w:tr>
        <w:tc>
          <w:p>
            <w:pPr>
              <w:pStyle w:val="Compact"/>
              <w:jc w:val="right"/>
            </w:pPr>
            <w:r>
              <w:t xml:space="preserve">Gleason ≥3+4:</w:t>
            </w:r>
          </w:p>
        </w:tc>
        <w:tc>
          <w:p>
            <w:pPr>
              <w:pStyle w:val="Compact"/>
              <w:jc w:val="right"/>
            </w:pPr>
            <w:r>
              <w:t xml:space="preserve">0.71 (0.64 - 0.79)</w:t>
            </w:r>
          </w:p>
        </w:tc>
        <w:tc>
          <w:p>
            <w:pPr>
              <w:pStyle w:val="Compact"/>
              <w:jc w:val="right"/>
            </w:pPr>
            <w:r>
              <w:t xml:space="preserve">0.68 (0.60 - 0.74)</w:t>
            </w:r>
          </w:p>
        </w:tc>
        <w:tc>
          <w:p>
            <w:pPr>
              <w:pStyle w:val="Compact"/>
              <w:jc w:val="right"/>
            </w:pPr>
            <w:r>
              <w:t xml:space="preserve">0.75 (0.68 - 0.82)</w:t>
            </w:r>
          </w:p>
        </w:tc>
        <w:tc>
          <w:p>
            <w:pPr>
              <w:pStyle w:val="Compact"/>
              <w:jc w:val="right"/>
            </w:pPr>
            <w:r>
              <w:t xml:space="preserve">0.83 (0.77 - 0.88)</w:t>
            </w:r>
          </w:p>
        </w:tc>
      </w:tr>
      <w:tr>
        <w:tc>
          <w:p>
            <w:pPr>
              <w:pStyle w:val="Compact"/>
              <w:jc w:val="right"/>
            </w:pPr>
            <w:r>
              <w:t xml:space="preserve">Any Cancer</w:t>
            </w:r>
          </w:p>
        </w:tc>
        <w:tc>
          <w:p>
            <w:pPr>
              <w:pStyle w:val="Compact"/>
              <w:jc w:val="right"/>
            </w:pPr>
            <w:r>
              <w:t xml:space="preserve">0.78 (0.71 - 0.85)</w:t>
            </w:r>
          </w:p>
        </w:tc>
        <w:tc>
          <w:p>
            <w:pPr>
              <w:pStyle w:val="Compact"/>
              <w:jc w:val="right"/>
            </w:pPr>
            <w:r>
              <w:t xml:space="preserve">0.76 (0.67 - 0.83)</w:t>
            </w:r>
          </w:p>
        </w:tc>
        <w:tc>
          <w:p>
            <w:pPr>
              <w:pStyle w:val="Compact"/>
              <w:jc w:val="right"/>
            </w:pPr>
            <w:r>
              <w:t xml:space="preserve">0.84 (0.79 - 0.89)</w:t>
            </w:r>
          </w:p>
        </w:tc>
        <w:tc>
          <w:p>
            <w:pPr>
              <w:pStyle w:val="Compact"/>
              <w:jc w:val="right"/>
            </w:pPr>
            <w:r>
              <w:t xml:space="preserve">0.91 (0.86 - 0.95)</w:t>
            </w:r>
          </w:p>
        </w:tc>
      </w:tr>
    </w:tbl>
    <w:p>
      <w:pPr>
        <w:pStyle w:val="BodyText"/>
      </w:pPr>
      <w:r>
        <w:t xml:space="preserve">ExoSpec was superior to the standard of care model for predicting Gleason ≥3+4, returning an AUC of 0.83 (95% CI: 0.77 - 0.88),</w:t>
      </w:r>
      <w:r>
        <w:t xml:space="preserve"> </w:t>
      </w:r>
      <w:r>
        <w:rPr>
          <w:i/>
        </w:rPr>
        <w:t xml:space="preserve">p</w:t>
      </w:r>
      <w:r>
        <w:t xml:space="preserve"> </w:t>
      </w:r>
      <w:r>
        <w:t xml:space="preserve">= 0 but was not significantly better than standards of care in predicting Gleason ≥4+3 disease (0.83 (95% CI: 0.76 - 0.89)</w:t>
      </w:r>
      <w:r>
        <w:t xml:space="preserve"> </w:t>
      </w:r>
      <w:r>
        <w:rPr>
          <w:i/>
        </w:rPr>
        <w:t xml:space="preserve">p</w:t>
      </w:r>
      <w:r>
        <w:t xml:space="preserve"> </w:t>
      </w:r>
      <w:r>
        <w:t xml:space="preserve">= 0.024,</w:t>
      </w:r>
      <w:r>
        <w:t xml:space="preserve"> </w:t>
      </w:r>
      <w:r>
        <w:rPr>
          <w:b/>
        </w:rPr>
        <w:t xml:space="preserve">Table 3</w:t>
      </w:r>
      <w:r>
        <w:t xml:space="preserve">).</w:t>
      </w:r>
    </w:p>
    <w:p>
      <w:pPr>
        <w:pStyle w:val="BodyText"/>
      </w:pPr>
      <w:r>
        <w:t xml:space="preserve">Resampling of ExoSpec predictions via estimation plots allowed for comparisons of mean ExoSpec signatures between groups by 1,000 bias-corrected and accelerated bootstrap resamples (</w:t>
      </w:r>
      <w:r>
        <w:rPr>
          <w:b/>
        </w:rPr>
        <w:t xml:space="preserve">Figure 4</w:t>
      </w:r>
      <w:r>
        <w:t xml:space="preserve">). The mean ExoSpec differences between patients with no evidence of cancer on biopsy were: Gleason 6 = 0.4 (95% CI: 0.34 - 0.46), Gleason 3+4 = 0.41 (95% CI: 0.35 - 0.46) and Gleason ≥4+3 = 0.53 (95% CI: 0.47 - 0.57). Interestingly, patients with no evidence of cancer had a lower ExoSpec risk score (mean difference = 0.21 (95% CI: 0.15 - 0.28)) than those men with a raised PSA but negative for cancer on biopsy (</w:t>
      </w:r>
      <w:r>
        <w:rPr>
          <w:b/>
        </w:rPr>
        <w:t xml:space="preserve">Supplementary Figure 5</w:t>
      </w:r>
      <w:r>
        <w:t xml:space="preserve">).</w:t>
      </w:r>
    </w:p>
    <w:p>
      <w:pPr>
        <w:pStyle w:val="Heading1"/>
      </w:pPr>
      <w:bookmarkStart w:id="27" w:name="figures"/>
      <w:r>
        <w:t xml:space="preserve">Figures</w:t>
      </w:r>
      <w:bookmarkEnd w:id="27"/>
    </w:p>
    <w:p>
      <w:pPr>
        <w:pStyle w:val="FirstParagraph"/>
      </w:pPr>
      <w:r>
        <w:drawing>
          <wp:inline>
            <wp:extent cx="5334000" cy="3556000"/>
            <wp:effectExtent b="0" l="0" r="0" t="0"/>
            <wp:docPr descr="" title="" id="1" name="Picture"/>
            <a:graphic>
              <a:graphicData uri="http://schemas.openxmlformats.org/drawingml/2006/picture">
                <pic:pic>
                  <pic:nvPicPr>
                    <pic:cNvPr descr="/Users/shea/Documents/PhD/Projects/ExoSpec/docs/ExoSpec_Methods_Results_files/figure-docx/Waterfall_plot-1.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1.</w:t>
      </w:r>
      <w:r>
        <w:t xml:space="preserve"> </w:t>
      </w:r>
      <w:r>
        <w:rPr>
          <w:i/>
        </w:rPr>
        <w:t xml:space="preserve">Waterfall plot of the ExoSpec risk score for each patient. Each coloured bar represents an individual patient’s calculated risk score and their true biopsy outcome, coloured according to Gleason score (Gs) . Green - No evidence of cancer, Blue – Gs 6, Orange - Gs 3+4, Red - Gs ≥ 4+3.</w:t>
      </w:r>
    </w:p>
    <w:p>
      <w:pPr>
        <w:pStyle w:val="Heading5"/>
      </w:pPr>
      <w:bookmarkStart w:id="29" w:name="section"/>
      <w:bookmarkEnd w:id="29"/>
    </w:p>
    <w:p>
      <w:pPr>
        <w:pStyle w:val="FirstParagraph"/>
      </w:pPr>
      <w:r>
        <w:drawing>
          <wp:inline>
            <wp:extent cx="5334000" cy="3692769"/>
            <wp:effectExtent b="0" l="0" r="0" t="0"/>
            <wp:docPr descr="" title="" id="1" name="Picture"/>
            <a:graphic>
              <a:graphicData uri="http://schemas.openxmlformats.org/drawingml/2006/picture">
                <pic:pic>
                  <pic:nvPicPr>
                    <pic:cNvPr descr="/Users/shea/Documents/PhD/Projects/ExoSpec/docs/ExoSpec_Methods_Results_files/figure-docx/Density_plots-1.png" id="0" name="Picture"/>
                    <pic:cNvPicPr>
                      <a:picLocks noChangeArrowheads="1" noChangeAspect="1"/>
                    </pic:cNvPicPr>
                  </pic:nvPicPr>
                  <pic:blipFill>
                    <a:blip r:embed="rId30"/>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rPr>
          <w:b/>
        </w:rPr>
        <w:t xml:space="preserve">Figure 2.</w:t>
      </w:r>
      <w:r>
        <w:t xml:space="preserve"> </w:t>
      </w:r>
      <w:r>
        <w:rPr>
          <w:i/>
        </w:rPr>
        <w:t xml:space="preserve">Density plots detailing risk score distributions generated from four trained models. Models A to D were trained with different input variables;</w:t>
      </w:r>
      <w:r>
        <w:rPr>
          <w:i/>
        </w:rPr>
        <w:t xml:space="preserve"> </w:t>
      </w:r>
      <w:r>
        <w:rPr>
          <w:b/>
          <w:i/>
        </w:rPr>
        <w:t xml:space="preserve">A</w:t>
      </w:r>
      <w:r>
        <w:rPr>
          <w:i/>
        </w:rPr>
        <w:t xml:space="preserve"> </w:t>
      </w:r>
      <w:r>
        <w:rPr>
          <w:i/>
        </w:rPr>
        <w:t xml:space="preserve">- SoC clinical risk model, including Age and PSA,</w:t>
      </w:r>
      <w:r>
        <w:rPr>
          <w:i/>
        </w:rPr>
        <w:t xml:space="preserve"> </w:t>
      </w:r>
      <w:r>
        <w:rPr>
          <w:b/>
          <w:i/>
        </w:rPr>
        <w:t xml:space="preserve">B</w:t>
      </w:r>
      <w:r>
        <w:rPr>
          <w:i/>
        </w:rPr>
        <w:t xml:space="preserve"> </w:t>
      </w:r>
      <w:r>
        <w:rPr>
          <w:i/>
        </w:rPr>
        <w:t xml:space="preserve">- MassSpec model,</w:t>
      </w:r>
      <w:r>
        <w:rPr>
          <w:i/>
        </w:rPr>
        <w:t xml:space="preserve"> </w:t>
      </w:r>
      <w:r>
        <w:rPr>
          <w:b/>
          <w:i/>
        </w:rPr>
        <w:t xml:space="preserve">C</w:t>
      </w:r>
      <w:r>
        <w:rPr>
          <w:i/>
        </w:rPr>
        <w:t xml:space="preserve"> </w:t>
      </w:r>
      <w:r>
        <w:rPr>
          <w:i/>
        </w:rPr>
        <w:t xml:space="preserve">-ExoRNA model and</w:t>
      </w:r>
      <w:r>
        <w:rPr>
          <w:i/>
        </w:rPr>
        <w:t xml:space="preserve"> </w:t>
      </w:r>
      <w:r>
        <w:rPr>
          <w:b/>
          <w:i/>
        </w:rPr>
        <w:t xml:space="preserve">D</w:t>
      </w:r>
      <w:r>
        <w:rPr>
          <w:i/>
        </w:rPr>
        <w:t xml:space="preserve"> </w:t>
      </w:r>
      <w:r>
        <w:rPr>
          <w:i/>
        </w:rPr>
        <w:t xml:space="preserve">- ExoSpec model, combining the predictors from all three previous models. The full list of variables in each model is available in Table 1. Fill colour shows the risk score distribution of patients with a significant biopsy outcome of Gs ≥ 3+4 (Orange) or Gs ≤ 6 (Blue).</w:t>
      </w:r>
    </w:p>
    <w:p>
      <w:pPr>
        <w:pStyle w:val="Heading5"/>
      </w:pPr>
      <w:bookmarkStart w:id="31" w:name="section-1"/>
      <w:bookmarkEnd w:id="31"/>
    </w:p>
    <w:p>
      <w:pPr>
        <w:pStyle w:val="FirstParagraph"/>
      </w:pPr>
      <w:r>
        <w:drawing>
          <wp:inline>
            <wp:extent cx="5334000" cy="3556000"/>
            <wp:effectExtent b="0" l="0" r="0" t="0"/>
            <wp:docPr descr="" title="" id="1" name="Picture"/>
            <a:graphic>
              <a:graphicData uri="http://schemas.openxmlformats.org/drawingml/2006/picture">
                <pic:pic>
                  <pic:nvPicPr>
                    <pic:cNvPr descr="/Users/shea/Documents/PhD/Projects/ExoSpec/docs/ExoSpec_Methods_Results_files/figure-docx/Estimation_plo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3.</w:t>
      </w:r>
      <w:r>
        <w:t xml:space="preserve"> </w:t>
      </w:r>
      <w:r>
        <w:rPr>
          <w:i/>
        </w:rPr>
        <w:t xml:space="preserve">Cumming estimation plot of the ExoSpec risk signature. The top row details individual patients as points, separated according to Gleason score on the x-axis and risk score on the y-axis. Points are coloured according to clinical risk category; NEC - No evidence of cancer, Raised PSA - Raised PSA with negative biopsy, L -D’Amico Low-Risk, I - D’Amico Intermediate Risk, H - D’Amico High-Risk. Gapped vertical lines detail the mean and standard deviation of each group’s risk scores. The lower panel shows the mean differences in risk score of each group, as compared to the NEC samples. Mean differences and 95% confidence interval are displayed as a point estimate and vertical bar respectively, using the sample density distributions calculated from a bias-corrected and accelerated bootstrap analysis from 1,000 resamples.</w:t>
      </w:r>
    </w:p>
    <w:p>
      <w:pPr>
        <w:pStyle w:val="Heading5"/>
      </w:pPr>
      <w:bookmarkStart w:id="33" w:name="section-2"/>
      <w:bookmarkEnd w:id="33"/>
    </w:p>
    <w:p>
      <w:pPr>
        <w:pStyle w:val="FirstParagraph"/>
      </w:pPr>
      <w:r>
        <w:drawing>
          <wp:inline>
            <wp:extent cx="5334000" cy="4103076"/>
            <wp:effectExtent b="0" l="0" r="0" t="0"/>
            <wp:docPr descr="" title="" id="1" name="Picture"/>
            <a:graphic>
              <a:graphicData uri="http://schemas.openxmlformats.org/drawingml/2006/picture">
                <pic:pic>
                  <pic:nvPicPr>
                    <pic:cNvPr descr="/Users/shea/Documents/PhD/Projects/ExoSpec/docs/ExoSpec_Methods_Results_files/figure-docx/DCA%20plots-1.png" id="0" name="Picture"/>
                    <pic:cNvPicPr>
                      <a:picLocks noChangeArrowheads="1" noChangeAspect="1"/>
                    </pic:cNvPicPr>
                  </pic:nvPicPr>
                  <pic:blipFill>
                    <a:blip r:embed="rId34"/>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b/>
        </w:rPr>
        <w:t xml:space="preserve">Figure 4.</w:t>
      </w:r>
      <w:r>
        <w:t xml:space="preserve"> </w:t>
      </w:r>
      <w:r>
        <w:rPr>
          <w:i/>
        </w:rPr>
        <w:t xml:space="preserve">Decision curve analysis (DCA) plots detailing the standardised net benefit (sNB) of adopting different risk models, relative to standard of care The x-axis details the range of risk a clinician, patient or interdisciplinary team may accept before deciding to undertake biopsy. Panels show the relative sNB based upon the detection of varying levels of disease severity:</w:t>
      </w:r>
      <w:r>
        <w:rPr>
          <w:i/>
        </w:rPr>
        <w:t xml:space="preserve"> </w:t>
      </w:r>
      <w:r>
        <w:rPr>
          <w:b/>
          <w:i/>
        </w:rPr>
        <w:t xml:space="preserve">A</w:t>
      </w:r>
      <w:r>
        <w:rPr>
          <w:i/>
        </w:rPr>
        <w:t xml:space="preserve"> </w:t>
      </w:r>
      <w:r>
        <w:rPr>
          <w:i/>
        </w:rPr>
        <w:t xml:space="preserve">- detection of any cancer ,</w:t>
      </w:r>
      <w:r>
        <w:rPr>
          <w:i/>
        </w:rPr>
        <w:t xml:space="preserve"> </w:t>
      </w:r>
      <w:r>
        <w:rPr>
          <w:b/>
          <w:i/>
        </w:rPr>
        <w:t xml:space="preserve">B</w:t>
      </w:r>
      <w:r>
        <w:rPr>
          <w:i/>
        </w:rPr>
        <w:t xml:space="preserve"> </w:t>
      </w:r>
      <w:r>
        <w:rPr>
          <w:i/>
        </w:rPr>
        <w:t xml:space="preserve">- detection of Gleason ≥ 3+4,</w:t>
      </w:r>
      <w:r>
        <w:rPr>
          <w:i/>
        </w:rPr>
        <w:t xml:space="preserve"> </w:t>
      </w:r>
      <w:r>
        <w:rPr>
          <w:b/>
          <w:i/>
        </w:rPr>
        <w:t xml:space="preserve">C</w:t>
      </w:r>
      <w:r>
        <w:rPr>
          <w:i/>
        </w:rPr>
        <w:t xml:space="preserve"> </w:t>
      </w:r>
      <w:r>
        <w:rPr>
          <w:i/>
        </w:rPr>
        <w:t xml:space="preserve">- detection of Gleason ≥ 4+3;</w:t>
      </w:r>
      <w:r>
        <w:rPr>
          <w:i/>
        </w:rPr>
        <w:t xml:space="preserve"> </w:t>
      </w:r>
      <w:r>
        <w:rPr>
          <w:b/>
          <w:i/>
        </w:rPr>
        <w:t xml:space="preserve">Orange</w:t>
      </w:r>
      <w:r>
        <w:rPr>
          <w:i/>
        </w:rPr>
        <w:t xml:space="preserve"> </w:t>
      </w:r>
      <w:r>
        <w:rPr>
          <w:i/>
        </w:rPr>
        <w:t xml:space="preserve">- biopsy patients according to current standards of care,</w:t>
      </w:r>
      <w:r>
        <w:rPr>
          <w:i/>
        </w:rPr>
        <w:t xml:space="preserve"> </w:t>
      </w:r>
      <w:r>
        <w:rPr>
          <w:b/>
          <w:i/>
        </w:rPr>
        <w:t xml:space="preserve">Green</w:t>
      </w:r>
      <w:r>
        <w:rPr>
          <w:i/>
        </w:rPr>
        <w:t xml:space="preserve"> </w:t>
      </w:r>
      <w:r>
        <w:rPr>
          <w:i/>
        </w:rPr>
        <w:t xml:space="preserve">- biopsy patients based on the MassSpec model,</w:t>
      </w:r>
      <w:r>
        <w:rPr>
          <w:i/>
        </w:rPr>
        <w:t xml:space="preserve"> </w:t>
      </w:r>
      <w:r>
        <w:rPr>
          <w:b/>
          <w:i/>
        </w:rPr>
        <w:t xml:space="preserve">Purple</w:t>
      </w:r>
      <w:r>
        <w:rPr>
          <w:i/>
        </w:rPr>
        <w:t xml:space="preserve"> </w:t>
      </w:r>
      <w:r>
        <w:rPr>
          <w:i/>
        </w:rPr>
        <w:t xml:space="preserve">- biopsy patients based on the ExoRNA model,</w:t>
      </w:r>
      <w:r>
        <w:rPr>
          <w:i/>
        </w:rPr>
        <w:t xml:space="preserve"> </w:t>
      </w:r>
      <w:r>
        <w:rPr>
          <w:b/>
          <w:i/>
        </w:rPr>
        <w:t xml:space="preserve">Red</w:t>
      </w:r>
      <w:r>
        <w:rPr>
          <w:i/>
        </w:rPr>
        <w:t xml:space="preserve"> </w:t>
      </w:r>
      <w:r>
        <w:rPr>
          <w:i/>
        </w:rPr>
        <w:t xml:space="preserve">- biopsy patients based on a the ExoSpec model. To assess the benefit of adopting these risk models in a non-PSA screened population we used data available from the control arm of the CAP study</w:t>
      </w:r>
      <w:r>
        <w:rPr>
          <w:i/>
        </w:rPr>
        <w:t xml:space="preserve"> </w:t>
      </w:r>
      <w:r>
        <w:rPr>
          <w:i/>
        </w:rPr>
        <w:t xml:space="preserve">[@Martin2018]</w:t>
      </w:r>
      <w:r>
        <w:rPr>
          <w:i/>
        </w:rPr>
        <w:t xml:space="preserve">. DCA curves were calculated from 1,000 bootstrap resamples of the available data to match the distribution of disease reported in the CAP trial population. Mean sNB from these resampled DCA results were calculated and the SoC model results used as the baseline benefit. Results are plotted relative to this SoC benefit. See Methods for full details.</w:t>
      </w:r>
    </w:p>
    <w:p>
      <w:pPr>
        <w:pStyle w:val="Heading5"/>
      </w:pPr>
      <w:bookmarkStart w:id="35" w:name="section-3"/>
      <w:bookmarkEnd w:id="35"/>
    </w:p>
    <w:p>
      <w:pPr>
        <w:pStyle w:val="FirstParagraph"/>
      </w:pPr>
      <w:r>
        <w:drawing>
          <wp:inline>
            <wp:extent cx="5334000" cy="4103076"/>
            <wp:effectExtent b="0" l="0" r="0" t="0"/>
            <wp:docPr descr="" title="" id="1" name="Picture"/>
            <a:graphic>
              <a:graphicData uri="http://schemas.openxmlformats.org/drawingml/2006/picture">
                <pic:pic>
                  <pic:nvPicPr>
                    <pic:cNvPr descr="/Users/shea/Documents/PhD/Projects/ExoSpec/docs/ExoSpec_Methods_Results_files/figure-docx/Biopsy%20Reductions-1.png" id="0" name="Picture"/>
                    <pic:cNvPicPr>
                      <a:picLocks noChangeArrowheads="1" noChangeAspect="1"/>
                    </pic:cNvPicPr>
                  </pic:nvPicPr>
                  <pic:blipFill>
                    <a:blip r:embed="rId36"/>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b/>
        </w:rPr>
        <w:t xml:space="preserve">Figure 5.</w:t>
      </w:r>
      <w:r>
        <w:t xml:space="preserve"> </w:t>
      </w:r>
      <w:r>
        <w:rPr>
          <w:i/>
        </w:rPr>
        <w:t xml:space="preserve">Net percentage reduction in biopsies measured relative to current standards of care, as calculated by DCA measuring the benefit of adopting different risk models for aiding the decision to biopsy patients who would otherwise be biopsied. The x-axis details the range of accepted risk a clinician or patient may accept before deciding to biopsy. Panels show the percentage reduction in biopsies based upon the detection of varying levels of disease severity:</w:t>
      </w:r>
      <w:r>
        <w:rPr>
          <w:i/>
        </w:rPr>
        <w:t xml:space="preserve"> </w:t>
      </w:r>
      <w:r>
        <w:rPr>
          <w:b/>
          <w:i/>
        </w:rPr>
        <w:t xml:space="preserve">A</w:t>
      </w:r>
      <w:r>
        <w:rPr>
          <w:i/>
        </w:rPr>
        <w:t xml:space="preserve"> </w:t>
      </w:r>
      <w:r>
        <w:rPr>
          <w:i/>
        </w:rPr>
        <w:t xml:space="preserve">- any cancer ,</w:t>
      </w:r>
      <w:r>
        <w:rPr>
          <w:i/>
        </w:rPr>
        <w:t xml:space="preserve"> </w:t>
      </w:r>
      <w:r>
        <w:rPr>
          <w:b/>
          <w:i/>
        </w:rPr>
        <w:t xml:space="preserve">B</w:t>
      </w:r>
      <w:r>
        <w:rPr>
          <w:i/>
        </w:rPr>
        <w:t xml:space="preserve"> </w:t>
      </w:r>
      <w:r>
        <w:rPr>
          <w:i/>
        </w:rPr>
        <w:t xml:space="preserve">- Gleason ≥ 3+4 and</w:t>
      </w:r>
      <w:r>
        <w:rPr>
          <w:i/>
        </w:rPr>
        <w:t xml:space="preserve"> </w:t>
      </w:r>
      <w:r>
        <w:rPr>
          <w:b/>
          <w:i/>
        </w:rPr>
        <w:t xml:space="preserve">C</w:t>
      </w:r>
      <w:r>
        <w:rPr>
          <w:i/>
        </w:rPr>
        <w:t xml:space="preserve"> </w:t>
      </w:r>
      <w:r>
        <w:rPr>
          <w:i/>
        </w:rPr>
        <w:t xml:space="preserve">- Gleason ≥ 4+3. Coloured lines show differing comparator models;</w:t>
      </w:r>
      <w:r>
        <w:rPr>
          <w:i/>
        </w:rPr>
        <w:t xml:space="preserve"> </w:t>
      </w:r>
      <w:r>
        <w:rPr>
          <w:b/>
          <w:i/>
        </w:rPr>
        <w:t xml:space="preserve">Blue</w:t>
      </w:r>
      <w:r>
        <w:rPr>
          <w:i/>
        </w:rPr>
        <w:t xml:space="preserve">- biopsy all patients with a PSA &gt;3 ng/mL,</w:t>
      </w:r>
      <w:r>
        <w:rPr>
          <w:i/>
        </w:rPr>
        <w:t xml:space="preserve"> </w:t>
      </w:r>
      <w:r>
        <w:rPr>
          <w:b/>
          <w:i/>
        </w:rPr>
        <w:t xml:space="preserve">Green</w:t>
      </w:r>
      <w:r>
        <w:rPr>
          <w:i/>
        </w:rPr>
        <w:t xml:space="preserve"> </w:t>
      </w:r>
      <w:r>
        <w:rPr>
          <w:i/>
        </w:rPr>
        <w:t xml:space="preserve">- biopsy patients based on the MassSpec model,</w:t>
      </w:r>
      <w:r>
        <w:rPr>
          <w:i/>
        </w:rPr>
        <w:t xml:space="preserve"> </w:t>
      </w:r>
      <w:r>
        <w:rPr>
          <w:b/>
          <w:i/>
        </w:rPr>
        <w:t xml:space="preserve">Purple</w:t>
      </w:r>
      <w:r>
        <w:rPr>
          <w:i/>
        </w:rPr>
        <w:t xml:space="preserve"> </w:t>
      </w:r>
      <w:r>
        <w:rPr>
          <w:i/>
        </w:rPr>
        <w:t xml:space="preserve">- biopsy patients based on the ExoRNA model,</w:t>
      </w:r>
      <w:r>
        <w:rPr>
          <w:i/>
        </w:rPr>
        <w:t xml:space="preserve"> </w:t>
      </w:r>
      <w:r>
        <w:rPr>
          <w:b/>
          <w:i/>
        </w:rPr>
        <w:t xml:space="preserve">Red</w:t>
      </w:r>
      <w:r>
        <w:rPr>
          <w:i/>
        </w:rPr>
        <w:t xml:space="preserve"> </w:t>
      </w:r>
      <w:r>
        <w:rPr>
          <w:i/>
        </w:rPr>
        <w:t xml:space="preserve">- biopsy patients based on a the ExoSpec model. To assess the benefit of adopting these risk models in a non-PSA screened population we used data available from the control arm of the CAP study</w:t>
      </w:r>
      <w:r>
        <w:rPr>
          <w:i/>
        </w:rPr>
        <w:t xml:space="preserve"> </w:t>
      </w:r>
      <w:r>
        <w:rPr>
          <w:i/>
        </w:rPr>
        <w:t xml:space="preserve">[@Martin2018]</w:t>
      </w:r>
      <w:r>
        <w:rPr>
          <w:i/>
        </w:rPr>
        <w:t xml:space="preserve">. DCA curves were calculated from 1,000 bootstrap resamples of the available data to match the distribution of disease reported in the CAP trial population. Mean sNB from these resampled DCA results were calculated and the SoC model results used as the baseline benefit. Results are plotted relative to this SoC benefit. See Methods for full details.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ExoSpec Methods &amp; Results</dc:title>
  <dc:creator>Shea P. Connell</dc:creator>
  <cp:keywords/>
  <dcterms:created xsi:type="dcterms:W3CDTF">2019-10-09T10:58:09Z</dcterms:created>
  <dcterms:modified xsi:type="dcterms:W3CDTF">2019-10-09T10:58:09Z</dcterms:modified>
</cp:coreProperties>
</file>