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7926" w14:textId="54B4E39B" w:rsidR="00146618" w:rsidRPr="004C1F1D" w:rsidRDefault="004E3927" w:rsidP="004C1F1D">
      <w:pPr>
        <w:autoSpaceDE w:val="0"/>
        <w:autoSpaceDN w:val="0"/>
        <w:adjustRightInd w:val="0"/>
        <w:spacing w:after="0" w:line="240" w:lineRule="auto"/>
        <w:jc w:val="center"/>
        <w:rPr>
          <w:rFonts w:ascii="Aptos" w:hAnsi="Aptos" w:cs="Times New Roman"/>
          <w:b/>
          <w:bCs/>
          <w:kern w:val="0"/>
          <w:sz w:val="32"/>
          <w:szCs w:val="32"/>
          <w:u w:val="single"/>
          <w:lang w:val="en-US"/>
        </w:rPr>
      </w:pPr>
      <w:r w:rsidRPr="004C1F1D">
        <w:rPr>
          <w:rFonts w:ascii="Aptos" w:hAnsi="Aptos" w:cs="Times New Roman"/>
          <w:b/>
          <w:bCs/>
          <w:kern w:val="0"/>
          <w:sz w:val="32"/>
          <w:szCs w:val="32"/>
          <w:u w:val="single"/>
          <w:lang w:val="en-US"/>
        </w:rPr>
        <w:t>What can 1.8 billion regressions tell us about the pressures shaping</w:t>
      </w:r>
      <w:r w:rsidR="004C1F1D">
        <w:rPr>
          <w:rFonts w:ascii="Aptos" w:hAnsi="Aptos" w:cs="Times New Roman"/>
          <w:b/>
          <w:bCs/>
          <w:kern w:val="0"/>
          <w:sz w:val="32"/>
          <w:szCs w:val="32"/>
          <w:u w:val="single"/>
          <w:lang w:val="en-US"/>
        </w:rPr>
        <w:t xml:space="preserve"> </w:t>
      </w:r>
      <w:r w:rsidRPr="004C1F1D">
        <w:rPr>
          <w:rFonts w:ascii="Aptos" w:hAnsi="Aptos" w:cs="Times New Roman"/>
          <w:b/>
          <w:bCs/>
          <w:kern w:val="0"/>
          <w:sz w:val="32"/>
          <w:szCs w:val="32"/>
          <w:u w:val="single"/>
          <w:lang w:val="en-US"/>
        </w:rPr>
        <w:t>high-level visual representation in brains and machines?</w:t>
      </w:r>
    </w:p>
    <w:p w14:paraId="5D3EE44B" w14:textId="77777777" w:rsidR="004E3927" w:rsidRDefault="004E3927" w:rsidP="004E3927">
      <w:pPr>
        <w:rPr>
          <w:rFonts w:ascii="Aptos" w:hAnsi="Aptos" w:cs="Times New Roman"/>
          <w:kern w:val="0"/>
          <w:lang w:val="en-US"/>
        </w:rPr>
      </w:pPr>
    </w:p>
    <w:p w14:paraId="24EC09DD" w14:textId="342722CE" w:rsidR="004E3927" w:rsidRPr="004C1F1D" w:rsidRDefault="004E3927" w:rsidP="004E3927">
      <w:pPr>
        <w:rPr>
          <w:rFonts w:ascii="Aptos" w:hAnsi="Aptos" w:cs="Times New Roman"/>
          <w:b/>
          <w:bCs/>
          <w:kern w:val="0"/>
          <w:sz w:val="28"/>
          <w:szCs w:val="28"/>
          <w:u w:val="single"/>
          <w:lang w:val="en-US"/>
        </w:rPr>
      </w:pPr>
      <w:r w:rsidRPr="004C1F1D">
        <w:rPr>
          <w:rFonts w:ascii="Aptos" w:hAnsi="Aptos" w:cs="Times New Roman"/>
          <w:b/>
          <w:bCs/>
          <w:kern w:val="0"/>
          <w:sz w:val="28"/>
          <w:szCs w:val="28"/>
          <w:u w:val="single"/>
          <w:lang w:val="en-US"/>
        </w:rPr>
        <w:t>At a Glance</w:t>
      </w:r>
    </w:p>
    <w:p w14:paraId="46EC9CCB" w14:textId="1600CB05" w:rsidR="004E3927" w:rsidRPr="000B3FFE" w:rsidRDefault="004E3927" w:rsidP="004E3927">
      <w:pPr>
        <w:rPr>
          <w:rFonts w:ascii="Aptos" w:hAnsi="Aptos"/>
        </w:rPr>
      </w:pPr>
      <w:r w:rsidRPr="000B3FFE">
        <w:rPr>
          <w:rFonts w:ascii="Aptos" w:hAnsi="Aptos"/>
        </w:rPr>
        <w:t xml:space="preserve">The study asks a “why” question: </w:t>
      </w:r>
      <w:r w:rsidRPr="000B3FFE">
        <w:rPr>
          <w:rFonts w:ascii="Aptos" w:hAnsi="Aptos"/>
          <w:b/>
          <w:bCs/>
        </w:rPr>
        <w:t>what pressures make learned visual representations look more like high-level human ventral-stream representations?</w:t>
      </w:r>
      <w:r w:rsidRPr="000B3FFE">
        <w:rPr>
          <w:rFonts w:ascii="Aptos" w:hAnsi="Aptos"/>
        </w:rPr>
        <w:t xml:space="preserve"> The authors curated 224 models out of which 160 were trained and 64 randomly initialized, evaluated them on human occipitotemporal cortext (OTC) responses from the Natural Scenes Dataset (NSD), and compared them using two linking methods: classical RSA (cRSA) and voxel-encoding RSA (veRSA). The analysis required over 1.8 billion regressions and 50.3 thousand representaional similarity analyses. </w:t>
      </w:r>
    </w:p>
    <w:p w14:paraId="0C3D8330" w14:textId="77777777" w:rsidR="004E3927" w:rsidRDefault="004E3927" w:rsidP="004E3927">
      <w:pPr>
        <w:rPr>
          <w:rFonts w:ascii="Aptos" w:hAnsi="Aptos"/>
          <w:sz w:val="21"/>
          <w:szCs w:val="21"/>
        </w:rPr>
      </w:pPr>
    </w:p>
    <w:p w14:paraId="28055487" w14:textId="6F888001" w:rsidR="004E3927" w:rsidRPr="004C1F1D" w:rsidRDefault="004E3927" w:rsidP="004E3927">
      <w:pPr>
        <w:rPr>
          <w:rFonts w:ascii="Aptos" w:hAnsi="Aptos"/>
          <w:b/>
          <w:bCs/>
          <w:sz w:val="28"/>
          <w:szCs w:val="28"/>
          <w:u w:val="single"/>
        </w:rPr>
      </w:pPr>
      <w:r w:rsidRPr="004C1F1D">
        <w:rPr>
          <w:rFonts w:ascii="Aptos" w:hAnsi="Aptos"/>
          <w:b/>
          <w:bCs/>
          <w:sz w:val="28"/>
          <w:szCs w:val="28"/>
          <w:u w:val="single"/>
        </w:rPr>
        <w:t>Abstract</w:t>
      </w:r>
    </w:p>
    <w:p w14:paraId="31ED1DAE" w14:textId="77777777" w:rsidR="00892BB4" w:rsidRDefault="004E3927" w:rsidP="00892BB4">
      <w:pPr>
        <w:rPr>
          <w:rFonts w:ascii="Aptos" w:hAnsi="Aptos"/>
        </w:rPr>
      </w:pPr>
      <w:r w:rsidRPr="000B3FFE">
        <w:rPr>
          <w:rFonts w:ascii="Aptos" w:hAnsi="Aptos"/>
        </w:rPr>
        <w:t xml:space="preserve">The abstract of this paper lays out three claims. </w:t>
      </w:r>
      <w:r w:rsidRPr="000B3FFE">
        <w:rPr>
          <w:rFonts w:ascii="Aptos" w:hAnsi="Aptos"/>
        </w:rPr>
        <w:br/>
        <w:t xml:space="preserve">First, the paper performs structured controlled comparisons across 224 diverse computer-vision models. </w:t>
      </w:r>
    </w:p>
    <w:p w14:paraId="78A76ADD" w14:textId="22CD1D63" w:rsidR="00892BB4" w:rsidRDefault="004E3927" w:rsidP="00892BB4">
      <w:pPr>
        <w:rPr>
          <w:rFonts w:ascii="Aptos" w:hAnsi="Aptos"/>
        </w:rPr>
      </w:pPr>
      <w:r w:rsidRPr="000B3FFE">
        <w:rPr>
          <w:rFonts w:ascii="Aptos" w:hAnsi="Aptos"/>
        </w:rPr>
        <w:t xml:space="preserve">Second, the expected “winners” on brain predicitivity such as Transformers over CNNs or language-aligned objectives over vision-only learning do not dominate once architecture, task and diet are held constant. </w:t>
      </w:r>
    </w:p>
    <w:p w14:paraId="5083AF50" w14:textId="77777777" w:rsidR="00892BB4" w:rsidRDefault="004E3927" w:rsidP="00892BB4">
      <w:pPr>
        <w:rPr>
          <w:rFonts w:ascii="Aptos" w:hAnsi="Aptos"/>
        </w:rPr>
      </w:pPr>
      <w:r w:rsidRPr="000B3FFE">
        <w:rPr>
          <w:rFonts w:ascii="Aptos" w:hAnsi="Aptos"/>
        </w:rPr>
        <w:t xml:space="preserve">Third, visual training diet appears to be the strongest systematic determinant of high-level brain predictivity, while standard linear reweighting methods may be over-flexible. </w:t>
      </w:r>
    </w:p>
    <w:p w14:paraId="0F69583A" w14:textId="3D145813" w:rsidR="004E3927" w:rsidRDefault="00892BB4" w:rsidP="00892BB4">
      <w:pPr>
        <w:rPr>
          <w:rFonts w:ascii="Aptos" w:hAnsi="Aptos"/>
        </w:rPr>
      </w:pPr>
      <w:r>
        <w:rPr>
          <w:rFonts w:ascii="Aptos" w:hAnsi="Aptos"/>
        </w:rPr>
        <w:t xml:space="preserve">Earlier work showed that DNNs could predict neural activity in high-level vision. Now the question is which inductive biases make representation more brain-like? </w:t>
      </w:r>
      <w:r w:rsidRPr="00892BB4">
        <w:rPr>
          <w:rFonts w:ascii="Aptos" w:hAnsi="Aptos"/>
        </w:rPr>
        <w:t>They treat models as </w:t>
      </w:r>
      <w:r w:rsidRPr="00892BB4">
        <w:rPr>
          <w:rFonts w:ascii="Aptos" w:hAnsi="Aptos"/>
          <w:b/>
          <w:bCs/>
        </w:rPr>
        <w:t>artificial visual systems</w:t>
      </w:r>
      <w:r w:rsidRPr="00892BB4">
        <w:rPr>
          <w:rFonts w:ascii="Aptos" w:hAnsi="Aptos"/>
        </w:rPr>
        <w:t> that can stand in for controlled rearing experiments: hold two things fixed, vary a third, and test what changes in brain predictivity.</w:t>
      </w:r>
    </w:p>
    <w:p w14:paraId="3A86D1C9" w14:textId="77777777" w:rsidR="00892BB4" w:rsidRDefault="00892BB4" w:rsidP="00892BB4">
      <w:pPr>
        <w:rPr>
          <w:rFonts w:ascii="Aptos" w:hAnsi="Aptos"/>
        </w:rPr>
      </w:pPr>
    </w:p>
    <w:p w14:paraId="452E6130" w14:textId="4FFC62C3" w:rsidR="00892BB4" w:rsidRPr="004C1F1D" w:rsidRDefault="00892BB4" w:rsidP="00892BB4">
      <w:pPr>
        <w:rPr>
          <w:rFonts w:ascii="Aptos" w:hAnsi="Aptos"/>
          <w:b/>
          <w:bCs/>
          <w:sz w:val="28"/>
          <w:szCs w:val="28"/>
          <w:u w:val="single"/>
        </w:rPr>
      </w:pPr>
      <w:r w:rsidRPr="004C1F1D">
        <w:rPr>
          <w:rFonts w:ascii="Aptos" w:hAnsi="Aptos"/>
          <w:b/>
          <w:bCs/>
          <w:sz w:val="28"/>
          <w:szCs w:val="28"/>
          <w:u w:val="single"/>
        </w:rPr>
        <w:t>Results on architecture, task and diet</w:t>
      </w:r>
    </w:p>
    <w:p w14:paraId="431B248B" w14:textId="77777777" w:rsidR="00892BB4" w:rsidRDefault="00892BB4" w:rsidP="00892BB4">
      <w:pPr>
        <w:rPr>
          <w:rFonts w:ascii="Aptos" w:hAnsi="Aptos"/>
        </w:rPr>
      </w:pPr>
      <w:r w:rsidRPr="00892BB4">
        <w:rPr>
          <w:rFonts w:ascii="Aptos" w:hAnsi="Aptos"/>
        </w:rPr>
        <w:t xml:space="preserve">The first results section compares 34 CNNs and 21 Transformers, all trained on ImageNet-1K for 1,000-way image classification. The paper’s main claim here is that the two classes are very close in OTC predictivity: mean veRSA is 0.67 for CNNs and 0.66 for Transformers. There is a statistically significant advantage for CNNs, but the effect is small and the score </w:t>
      </w:r>
      <w:r w:rsidRPr="00892BB4">
        <w:rPr>
          <w:rFonts w:ascii="Aptos" w:hAnsi="Aptos"/>
        </w:rPr>
        <w:lastRenderedPageBreak/>
        <w:t>distributions overlap substantially.</w:t>
      </w:r>
      <w:r>
        <w:rPr>
          <w:rFonts w:ascii="Aptos" w:hAnsi="Aptos"/>
        </w:rPr>
        <w:t xml:space="preserve"> The takeaway from this is not that “transformers are bad brain models”, it is that “architectural class alone only weakly explains high-level brain predictivity once task and diet are fixed”. </w:t>
      </w:r>
    </w:p>
    <w:p w14:paraId="69A15148" w14:textId="725BB427" w:rsidR="00892BB4" w:rsidRDefault="00892BB4" w:rsidP="00892BB4">
      <w:pPr>
        <w:rPr>
          <w:rFonts w:ascii="Aptos" w:hAnsi="Aptos"/>
        </w:rPr>
      </w:pPr>
      <w:r>
        <w:rPr>
          <w:rFonts w:ascii="Aptos" w:hAnsi="Aptos"/>
        </w:rPr>
        <w:t xml:space="preserve">Task variation is split into three experiments. </w:t>
      </w:r>
      <w:r w:rsidRPr="00892BB4">
        <w:rPr>
          <w:rFonts w:ascii="Aptos" w:hAnsi="Aptos"/>
        </w:rPr>
        <w:t>The Taskonomy comparison tests whether different computer-vision tasks produce more or less brain-like representations using a common ResNet50 encoder trained on 4.5 million indoor-scene images.</w:t>
      </w:r>
      <w:r>
        <w:rPr>
          <w:rFonts w:ascii="Aptos" w:hAnsi="Aptos"/>
        </w:rPr>
        <w:t xml:space="preserve"> The paper finds wide range withing the Taskonomy set: </w:t>
      </w:r>
      <w:r w:rsidRPr="00892BB4">
        <w:rPr>
          <w:rFonts w:ascii="Aptos" w:hAnsi="Aptos"/>
        </w:rPr>
        <w:t>autoencoding is poor, object classification is best</w:t>
      </w:r>
      <w:r>
        <w:rPr>
          <w:rFonts w:ascii="Aptos" w:hAnsi="Aptos"/>
        </w:rPr>
        <w:t xml:space="preserve"> </w:t>
      </w:r>
      <w:r w:rsidRPr="00892BB4">
        <w:rPr>
          <w:rFonts w:ascii="Aptos" w:hAnsi="Aptos"/>
        </w:rPr>
        <w:t>but the whole Taskonomy family still performs much worse than strong ImageNet-trained models.</w:t>
      </w:r>
      <w:r w:rsidRPr="00892BB4">
        <w:rPr>
          <w:rFonts w:ascii="Segoe UI" w:hAnsi="Segoe UI" w:cs="Segoe UI"/>
          <w:color w:val="0D0D0D"/>
          <w:sz w:val="22"/>
          <w:szCs w:val="22"/>
          <w:shd w:val="clear" w:color="auto" w:fill="FFFFFF"/>
        </w:rPr>
        <w:t xml:space="preserve"> </w:t>
      </w:r>
      <w:r w:rsidRPr="00892BB4">
        <w:rPr>
          <w:rFonts w:ascii="Aptos" w:hAnsi="Aptos"/>
        </w:rPr>
        <w:t>The authors’ interpretation is that Taskonomy’s low scores likely reflect an impoverished indoor-only visual diet, not simply task choice.</w:t>
      </w:r>
      <w:r>
        <w:rPr>
          <w:rFonts w:ascii="Aptos" w:hAnsi="Aptos"/>
        </w:rPr>
        <w:t xml:space="preserve"> </w:t>
      </w:r>
    </w:p>
    <w:p w14:paraId="79956A3F" w14:textId="58B66DDB" w:rsidR="00892BB4" w:rsidRDefault="00892BB4" w:rsidP="00892BB4">
      <w:pPr>
        <w:rPr>
          <w:rFonts w:ascii="Aptos" w:hAnsi="Aptos"/>
        </w:rPr>
      </w:pPr>
      <w:r w:rsidRPr="00892BB4">
        <w:rPr>
          <w:rFonts w:ascii="Aptos" w:hAnsi="Aptos"/>
        </w:rPr>
        <w:t>The second task experiment compares </w:t>
      </w:r>
      <w:r w:rsidRPr="00892BB4">
        <w:rPr>
          <w:rFonts w:ascii="Aptos" w:hAnsi="Aptos"/>
          <w:b/>
          <w:bCs/>
        </w:rPr>
        <w:t>contrastive</w:t>
      </w:r>
      <w:r w:rsidRPr="00892BB4">
        <w:rPr>
          <w:rFonts w:ascii="Aptos" w:hAnsi="Aptos"/>
        </w:rPr>
        <w:t> vs. </w:t>
      </w:r>
      <w:r w:rsidRPr="00892BB4">
        <w:rPr>
          <w:rFonts w:ascii="Aptos" w:hAnsi="Aptos"/>
          <w:b/>
          <w:bCs/>
        </w:rPr>
        <w:t>non-contrastive</w:t>
      </w:r>
      <w:r w:rsidRPr="00892BB4">
        <w:rPr>
          <w:rFonts w:ascii="Aptos" w:hAnsi="Aptos"/>
        </w:rPr>
        <w:t> self-supervised learning on matched </w:t>
      </w:r>
      <w:r w:rsidRPr="00892BB4">
        <w:rPr>
          <w:rFonts w:ascii="Aptos" w:hAnsi="Aptos"/>
          <w:b/>
          <w:bCs/>
        </w:rPr>
        <w:t>ResNet50</w:t>
      </w:r>
      <w:r w:rsidRPr="00892BB4">
        <w:rPr>
          <w:rFonts w:ascii="Aptos" w:hAnsi="Aptos"/>
        </w:rPr>
        <w:t> backbones trained on </w:t>
      </w:r>
      <w:r w:rsidRPr="00892BB4">
        <w:rPr>
          <w:rFonts w:ascii="Aptos" w:hAnsi="Aptos"/>
          <w:b/>
          <w:bCs/>
        </w:rPr>
        <w:t>ImageNet images without labels</w:t>
      </w:r>
      <w:r w:rsidRPr="00892BB4">
        <w:rPr>
          <w:rFonts w:ascii="Aptos" w:hAnsi="Aptos"/>
        </w:rPr>
        <w:t>. The paper claims that </w:t>
      </w:r>
      <w:r w:rsidRPr="00892BB4">
        <w:rPr>
          <w:rFonts w:ascii="Aptos" w:hAnsi="Aptos"/>
          <w:b/>
          <w:bCs/>
        </w:rPr>
        <w:t>instance-level contrastive learning</w:t>
      </w:r>
      <w:r w:rsidRPr="00892BB4">
        <w:rPr>
          <w:rFonts w:ascii="Aptos" w:hAnsi="Aptos"/>
        </w:rPr>
        <w:t> yields reliably better brain predictivity than older non-contrastive SSL methods, and that strong contrastive methods are often </w:t>
      </w:r>
      <w:r w:rsidRPr="00892BB4">
        <w:rPr>
          <w:rFonts w:ascii="Aptos" w:hAnsi="Aptos"/>
          <w:b/>
          <w:bCs/>
        </w:rPr>
        <w:t>comparable to category-supervised models</w:t>
      </w:r>
      <w:r w:rsidRPr="00892BB4">
        <w:rPr>
          <w:rFonts w:ascii="Aptos" w:hAnsi="Aptos"/>
        </w:rPr>
        <w:t> under matched conditions. The support is direct: significant mid-sized β effects favor contrastive SSL, and the paper gives a concrete example where </w:t>
      </w:r>
      <w:r w:rsidRPr="00892BB4">
        <w:rPr>
          <w:rFonts w:ascii="Aptos" w:hAnsi="Aptos"/>
          <w:b/>
          <w:bCs/>
        </w:rPr>
        <w:t>Barlow Twins</w:t>
      </w:r>
      <w:r w:rsidRPr="00892BB4">
        <w:rPr>
          <w:rFonts w:ascii="Aptos" w:hAnsi="Aptos"/>
        </w:rPr>
        <w:t> and a supervised </w:t>
      </w:r>
      <w:r w:rsidRPr="00892BB4">
        <w:rPr>
          <w:rFonts w:ascii="Aptos" w:hAnsi="Aptos"/>
          <w:b/>
          <w:bCs/>
        </w:rPr>
        <w:t>ResNet50</w:t>
      </w:r>
      <w:r w:rsidRPr="00892BB4">
        <w:rPr>
          <w:rFonts w:ascii="Aptos" w:hAnsi="Aptos"/>
        </w:rPr>
        <w:t> produce nearly identical veRSA scores (</w:t>
      </w:r>
      <w:r w:rsidRPr="00892BB4">
        <w:rPr>
          <w:rFonts w:ascii="Aptos" w:hAnsi="Aptos"/>
          <w:b/>
          <w:bCs/>
        </w:rPr>
        <w:t>0.679 vs. 0.680</w:t>
      </w:r>
      <w:r w:rsidRPr="00892BB4">
        <w:rPr>
          <w:rFonts w:ascii="Aptos" w:hAnsi="Aptos"/>
        </w:rPr>
        <w:t>).</w:t>
      </w:r>
    </w:p>
    <w:p w14:paraId="24268033" w14:textId="75ED64B4" w:rsidR="00892BB4" w:rsidRDefault="00892BB4" w:rsidP="00892BB4">
      <w:pPr>
        <w:rPr>
          <w:rFonts w:ascii="Aptos" w:hAnsi="Aptos"/>
        </w:rPr>
      </w:pPr>
      <w:r w:rsidRPr="00892BB4">
        <w:rPr>
          <w:rFonts w:ascii="Aptos" w:hAnsi="Aptos"/>
        </w:rPr>
        <w:t>The third task experiment tests a hot hypothesis: whether </w:t>
      </w:r>
      <w:r w:rsidRPr="00892BB4">
        <w:rPr>
          <w:rFonts w:ascii="Aptos" w:hAnsi="Aptos"/>
          <w:b/>
          <w:bCs/>
        </w:rPr>
        <w:t>language alignment itself</w:t>
      </w:r>
      <w:r w:rsidRPr="00892BB4">
        <w:rPr>
          <w:rFonts w:ascii="Aptos" w:hAnsi="Aptos"/>
        </w:rPr>
        <w:t> makes vision models more brain-like. Using Meta’s </w:t>
      </w:r>
      <w:r w:rsidRPr="00892BB4">
        <w:rPr>
          <w:rFonts w:ascii="Aptos" w:hAnsi="Aptos"/>
          <w:b/>
          <w:bCs/>
        </w:rPr>
        <w:t>SLIP</w:t>
      </w:r>
      <w:r w:rsidRPr="00892BB4">
        <w:rPr>
          <w:rFonts w:ascii="Aptos" w:hAnsi="Aptos"/>
        </w:rPr>
        <w:t> family</w:t>
      </w:r>
      <w:r>
        <w:rPr>
          <w:rFonts w:ascii="Aptos" w:hAnsi="Aptos"/>
        </w:rPr>
        <w:t xml:space="preserve"> </w:t>
      </w:r>
      <w:r w:rsidRPr="00892BB4">
        <w:rPr>
          <w:rFonts w:ascii="Aptos" w:hAnsi="Aptos"/>
        </w:rPr>
        <w:t>matched </w:t>
      </w:r>
      <w:r w:rsidRPr="00892BB4">
        <w:rPr>
          <w:rFonts w:ascii="Aptos" w:hAnsi="Aptos"/>
          <w:b/>
          <w:bCs/>
        </w:rPr>
        <w:t>ViT-S/B/L</w:t>
      </w:r>
      <w:r w:rsidRPr="00892BB4">
        <w:rPr>
          <w:rFonts w:ascii="Aptos" w:hAnsi="Aptos"/>
        </w:rPr>
        <w:t> models trained on the same </w:t>
      </w:r>
      <w:r w:rsidRPr="00892BB4">
        <w:rPr>
          <w:rFonts w:ascii="Aptos" w:hAnsi="Aptos"/>
          <w:b/>
          <w:bCs/>
        </w:rPr>
        <w:t>YFCC15M</w:t>
      </w:r>
      <w:r w:rsidRPr="00892BB4">
        <w:rPr>
          <w:rFonts w:ascii="Aptos" w:hAnsi="Aptos"/>
        </w:rPr>
        <w:t> corpus with </w:t>
      </w:r>
      <w:r w:rsidRPr="00892BB4">
        <w:rPr>
          <w:rFonts w:ascii="Aptos" w:hAnsi="Aptos"/>
          <w:b/>
          <w:bCs/>
        </w:rPr>
        <w:t>SimCLR</w:t>
      </w:r>
      <w:r w:rsidRPr="00892BB4">
        <w:rPr>
          <w:rFonts w:ascii="Aptos" w:hAnsi="Aptos"/>
        </w:rPr>
        <w:t>, </w:t>
      </w:r>
      <w:r w:rsidRPr="00892BB4">
        <w:rPr>
          <w:rFonts w:ascii="Aptos" w:hAnsi="Aptos"/>
          <w:b/>
          <w:bCs/>
        </w:rPr>
        <w:t>CLIP</w:t>
      </w:r>
      <w:r w:rsidRPr="00892BB4">
        <w:rPr>
          <w:rFonts w:ascii="Aptos" w:hAnsi="Aptos"/>
        </w:rPr>
        <w:t>, or </w:t>
      </w:r>
      <w:r w:rsidRPr="00892BB4">
        <w:rPr>
          <w:rFonts w:ascii="Aptos" w:hAnsi="Aptos"/>
          <w:b/>
          <w:bCs/>
        </w:rPr>
        <w:t>SLIP</w:t>
      </w:r>
      <w:r w:rsidRPr="00892BB4">
        <w:rPr>
          <w:rFonts w:ascii="Aptos" w:hAnsi="Aptos"/>
        </w:rPr>
        <w:t> objectives</w:t>
      </w:r>
      <w:r>
        <w:rPr>
          <w:rFonts w:ascii="Aptos" w:hAnsi="Aptos"/>
        </w:rPr>
        <w:t>. T</w:t>
      </w:r>
      <w:r w:rsidRPr="00892BB4">
        <w:rPr>
          <w:rFonts w:ascii="Aptos" w:hAnsi="Aptos"/>
        </w:rPr>
        <w:t>he paper finds </w:t>
      </w:r>
      <w:r w:rsidRPr="00892BB4">
        <w:rPr>
          <w:rFonts w:ascii="Aptos" w:hAnsi="Aptos"/>
          <w:b/>
          <w:bCs/>
        </w:rPr>
        <w:t>no meaningful boost from language alignment per se</w:t>
      </w:r>
      <w:r w:rsidRPr="00892BB4">
        <w:rPr>
          <w:rFonts w:ascii="Aptos" w:hAnsi="Aptos"/>
        </w:rPr>
        <w:t>. In fact, the pure CLIP objective is slightly </w:t>
      </w:r>
      <w:r w:rsidRPr="00892BB4">
        <w:rPr>
          <w:rFonts w:ascii="Aptos" w:hAnsi="Aptos"/>
          <w:b/>
          <w:bCs/>
        </w:rPr>
        <w:t>worse</w:t>
      </w:r>
      <w:r w:rsidRPr="00892BB4">
        <w:rPr>
          <w:rFonts w:ascii="Aptos" w:hAnsi="Aptos"/>
        </w:rPr>
        <w:t> than SimCLR in both cRSA and veRSA. This is one of the paper’s most consequential results because it directly challenges uncontrolled comparisons that attributed CLIP’s strong brain fit to language supervision.</w:t>
      </w:r>
    </w:p>
    <w:p w14:paraId="5C04E6EA" w14:textId="481A5FE8" w:rsidR="00892BB4" w:rsidRDefault="00892BB4" w:rsidP="00892BB4">
      <w:pPr>
        <w:rPr>
          <w:rFonts w:ascii="Aptos" w:hAnsi="Aptos"/>
        </w:rPr>
      </w:pPr>
      <w:r w:rsidRPr="00892BB4">
        <w:rPr>
          <w:rFonts w:ascii="Aptos" w:hAnsi="Aptos"/>
        </w:rPr>
        <w:t>The input-diet experiments then drive the paper’s strongest substantive message. Comparing </w:t>
      </w:r>
      <w:r w:rsidRPr="00892BB4">
        <w:rPr>
          <w:rFonts w:ascii="Aptos" w:hAnsi="Aptos"/>
          <w:b/>
          <w:bCs/>
        </w:rPr>
        <w:t>ImageNet-1K</w:t>
      </w:r>
      <w:r w:rsidRPr="00892BB4">
        <w:rPr>
          <w:rFonts w:ascii="Aptos" w:hAnsi="Aptos"/>
        </w:rPr>
        <w:t> vs. </w:t>
      </w:r>
      <w:r w:rsidRPr="00892BB4">
        <w:rPr>
          <w:rFonts w:ascii="Aptos" w:hAnsi="Aptos"/>
          <w:b/>
          <w:bCs/>
        </w:rPr>
        <w:t>ImageNet-21K</w:t>
      </w:r>
      <w:r w:rsidRPr="00892BB4">
        <w:rPr>
          <w:rFonts w:ascii="Aptos" w:hAnsi="Aptos"/>
        </w:rPr>
        <w:t> on </w:t>
      </w:r>
      <w:r w:rsidRPr="00892BB4">
        <w:rPr>
          <w:rFonts w:ascii="Aptos" w:hAnsi="Aptos"/>
          <w:b/>
          <w:bCs/>
        </w:rPr>
        <w:t>14 architecture-matched pairs</w:t>
      </w:r>
      <w:r w:rsidRPr="00892BB4">
        <w:rPr>
          <w:rFonts w:ascii="Aptos" w:hAnsi="Aptos"/>
        </w:rPr>
        <w:t>, the authors find </w:t>
      </w:r>
      <w:r w:rsidRPr="00892BB4">
        <w:rPr>
          <w:rFonts w:ascii="Aptos" w:hAnsi="Aptos"/>
          <w:b/>
          <w:bCs/>
        </w:rPr>
        <w:t>no reliable difference</w:t>
      </w:r>
      <w:r w:rsidRPr="00892BB4">
        <w:rPr>
          <w:rFonts w:ascii="Aptos" w:hAnsi="Aptos"/>
        </w:rPr>
        <w:t> in OTC predictivity despite the roughly </w:t>
      </w:r>
      <w:r w:rsidRPr="00892BB4">
        <w:rPr>
          <w:rFonts w:ascii="Aptos" w:hAnsi="Aptos"/>
          <w:b/>
          <w:bCs/>
        </w:rPr>
        <w:t>13×</w:t>
      </w:r>
      <w:r w:rsidRPr="00892BB4">
        <w:rPr>
          <w:rFonts w:ascii="Aptos" w:hAnsi="Aptos"/>
        </w:rPr>
        <w:t> increase in training images. That result argues against simple “more data is always more brain-like” reasoning.</w:t>
      </w:r>
    </w:p>
    <w:p w14:paraId="5A5C20BE" w14:textId="3F3D0146" w:rsidR="00892BB4" w:rsidRDefault="00892BB4" w:rsidP="00892BB4">
      <w:pPr>
        <w:rPr>
          <w:rFonts w:ascii="Aptos" w:hAnsi="Aptos"/>
        </w:rPr>
      </w:pPr>
      <w:r w:rsidRPr="00892BB4">
        <w:rPr>
          <w:rFonts w:ascii="Aptos" w:hAnsi="Aptos"/>
        </w:rPr>
        <w:t>By contrast, the </w:t>
      </w:r>
      <w:r w:rsidRPr="00892BB4">
        <w:rPr>
          <w:rFonts w:ascii="Aptos" w:hAnsi="Aptos"/>
          <w:b/>
          <w:bCs/>
        </w:rPr>
        <w:t>IPCL-AlexNet</w:t>
      </w:r>
      <w:r w:rsidRPr="00892BB4">
        <w:rPr>
          <w:rFonts w:ascii="Aptos" w:hAnsi="Aptos"/>
        </w:rPr>
        <w:t> comparisons across </w:t>
      </w:r>
      <w:r w:rsidRPr="00892BB4">
        <w:rPr>
          <w:rFonts w:ascii="Aptos" w:hAnsi="Aptos"/>
          <w:b/>
          <w:bCs/>
        </w:rPr>
        <w:t>object</w:t>
      </w:r>
      <w:r w:rsidRPr="00892BB4">
        <w:rPr>
          <w:rFonts w:ascii="Aptos" w:hAnsi="Aptos"/>
        </w:rPr>
        <w:t>, </w:t>
      </w:r>
      <w:r w:rsidRPr="00892BB4">
        <w:rPr>
          <w:rFonts w:ascii="Aptos" w:hAnsi="Aptos"/>
          <w:b/>
          <w:bCs/>
        </w:rPr>
        <w:t>scene</w:t>
      </w:r>
      <w:r w:rsidRPr="00892BB4">
        <w:rPr>
          <w:rFonts w:ascii="Aptos" w:hAnsi="Aptos"/>
        </w:rPr>
        <w:t>, and </w:t>
      </w:r>
      <w:r w:rsidRPr="00892BB4">
        <w:rPr>
          <w:rFonts w:ascii="Aptos" w:hAnsi="Aptos"/>
          <w:b/>
          <w:bCs/>
        </w:rPr>
        <w:t>face</w:t>
      </w:r>
      <w:r w:rsidRPr="00892BB4">
        <w:rPr>
          <w:rFonts w:ascii="Aptos" w:hAnsi="Aptos"/>
        </w:rPr>
        <w:t> diets show large effects. ImageNet-trained IPCL does best; OpenImages and Places drop modestly; </w:t>
      </w:r>
      <w:r w:rsidRPr="00892BB4">
        <w:rPr>
          <w:rFonts w:ascii="Aptos" w:hAnsi="Aptos"/>
          <w:b/>
          <w:bCs/>
        </w:rPr>
        <w:t>VGGFace2</w:t>
      </w:r>
      <w:r w:rsidRPr="00892BB4">
        <w:rPr>
          <w:rFonts w:ascii="Aptos" w:hAnsi="Aptos"/>
        </w:rPr>
        <w:t> drops a lot, with </w:t>
      </w:r>
      <w:r w:rsidRPr="00892BB4">
        <w:rPr>
          <w:rFonts w:ascii="Aptos" w:hAnsi="Aptos"/>
          <w:b/>
          <w:bCs/>
        </w:rPr>
        <w:t>veRSA β = −0.27</w:t>
      </w:r>
      <w:r w:rsidRPr="00892BB4">
        <w:rPr>
          <w:rFonts w:ascii="Aptos" w:hAnsi="Aptos"/>
        </w:rPr>
        <w:t> relative to ImageNet. This is powerful because architecture and objective are held constant and labels are not used. The support therefore isolates </w:t>
      </w:r>
      <w:r w:rsidRPr="00892BB4">
        <w:rPr>
          <w:rFonts w:ascii="Aptos" w:hAnsi="Aptos"/>
          <w:b/>
          <w:bCs/>
        </w:rPr>
        <w:t>what the model saw</w:t>
      </w:r>
      <w:r w:rsidRPr="00892BB4">
        <w:rPr>
          <w:rFonts w:ascii="Aptos" w:hAnsi="Aptos"/>
        </w:rPr>
        <w:t xml:space="preserve"> rather than how it was trained. The </w:t>
      </w:r>
      <w:r w:rsidRPr="00892BB4">
        <w:rPr>
          <w:rFonts w:ascii="Aptos" w:hAnsi="Aptos"/>
        </w:rPr>
        <w:lastRenderedPageBreak/>
        <w:t>interpretation is that </w:t>
      </w:r>
      <w:r w:rsidRPr="00892BB4">
        <w:rPr>
          <w:rFonts w:ascii="Aptos" w:hAnsi="Aptos"/>
          <w:b/>
          <w:bCs/>
        </w:rPr>
        <w:t>content diversity</w:t>
      </w:r>
      <w:r w:rsidRPr="00892BB4">
        <w:rPr>
          <w:rFonts w:ascii="Aptos" w:hAnsi="Aptos"/>
        </w:rPr>
        <w:t>, not raw image count, is the most plausible hidden variable.</w:t>
      </w:r>
    </w:p>
    <w:p w14:paraId="2D36E1C3" w14:textId="211BA72A" w:rsidR="004C1F1D" w:rsidRDefault="004C1F1D" w:rsidP="004C1F1D">
      <w:pPr>
        <w:rPr>
          <w:rFonts w:ascii="Aptos" w:hAnsi="Aptos"/>
        </w:rPr>
      </w:pPr>
      <w:r w:rsidRPr="004C1F1D">
        <w:rPr>
          <w:rFonts w:ascii="Aptos" w:hAnsi="Aptos"/>
        </w:rPr>
        <w:t>Finally, the paper compares trained models to their randomly initialized counterparts and finds that </w:t>
      </w:r>
      <w:r w:rsidRPr="004C1F1D">
        <w:rPr>
          <w:rFonts w:ascii="Aptos" w:hAnsi="Aptos"/>
          <w:b/>
          <w:bCs/>
        </w:rPr>
        <w:t>training itself</w:t>
      </w:r>
      <w:r w:rsidRPr="004C1F1D">
        <w:rPr>
          <w:rFonts w:ascii="Aptos" w:hAnsi="Aptos"/>
        </w:rPr>
        <w:t> has the largest and most robust effect of the entire study: </w:t>
      </w:r>
      <w:r>
        <w:rPr>
          <w:rFonts w:ascii="Aptos" w:hAnsi="Aptos"/>
        </w:rPr>
        <w:br/>
      </w:r>
      <w:r w:rsidRPr="004C1F1D">
        <w:rPr>
          <w:rFonts w:ascii="Aptos" w:hAnsi="Aptos"/>
          <w:b/>
          <w:bCs/>
        </w:rPr>
        <w:t>cRSA β = 0.30</w:t>
      </w:r>
      <w:r w:rsidRPr="004C1F1D">
        <w:rPr>
          <w:rFonts w:ascii="Aptos" w:hAnsi="Aptos"/>
        </w:rPr>
        <w:t>, </w:t>
      </w:r>
      <w:r w:rsidRPr="004C1F1D">
        <w:rPr>
          <w:rFonts w:ascii="Aptos" w:hAnsi="Aptos"/>
          <w:b/>
          <w:bCs/>
        </w:rPr>
        <w:t>veRSA β = 0.56</w:t>
      </w:r>
      <w:r w:rsidRPr="004C1F1D">
        <w:rPr>
          <w:rFonts w:ascii="Aptos" w:hAnsi="Aptos"/>
        </w:rPr>
        <w:t>. In plain English: whatever else is debated, </w:t>
      </w:r>
      <w:r w:rsidRPr="004C1F1D">
        <w:rPr>
          <w:rFonts w:ascii="Aptos" w:hAnsi="Aptos"/>
          <w:b/>
          <w:bCs/>
        </w:rPr>
        <w:t>experience matters</w:t>
      </w:r>
      <w:r w:rsidRPr="004C1F1D">
        <w:rPr>
          <w:rFonts w:ascii="Aptos" w:hAnsi="Aptos"/>
        </w:rPr>
        <w:t>. The authors treat this as the clearest evidence that high-level brain alignment is not a generic consequence of architectural priors alone.</w:t>
      </w:r>
    </w:p>
    <w:p w14:paraId="0E926439" w14:textId="77777777" w:rsidR="004C1F1D" w:rsidRDefault="004C1F1D" w:rsidP="004C1F1D">
      <w:pPr>
        <w:rPr>
          <w:rFonts w:ascii="Aptos" w:hAnsi="Aptos"/>
        </w:rPr>
      </w:pPr>
    </w:p>
    <w:p w14:paraId="487BD829" w14:textId="76B7DB41" w:rsidR="004C1F1D" w:rsidRPr="004C1F1D" w:rsidRDefault="004C1F1D" w:rsidP="004C1F1D">
      <w:pPr>
        <w:rPr>
          <w:rFonts w:ascii="Aptos" w:hAnsi="Aptos"/>
          <w:b/>
          <w:bCs/>
          <w:sz w:val="28"/>
          <w:szCs w:val="28"/>
          <w:u w:val="single"/>
        </w:rPr>
      </w:pPr>
      <w:r w:rsidRPr="004C1F1D">
        <w:rPr>
          <w:rFonts w:ascii="Aptos" w:hAnsi="Aptos"/>
          <w:b/>
          <w:bCs/>
          <w:sz w:val="28"/>
          <w:szCs w:val="28"/>
          <w:u w:val="single"/>
        </w:rPr>
        <w:t>Results on global variation and model-to-model similarity</w:t>
      </w:r>
    </w:p>
    <w:p w14:paraId="6FCC4FE5" w14:textId="18388E81" w:rsidR="004C1F1D" w:rsidRDefault="004C1F1D" w:rsidP="004C1F1D">
      <w:pPr>
        <w:rPr>
          <w:rFonts w:ascii="Aptos" w:hAnsi="Aptos"/>
        </w:rPr>
      </w:pPr>
      <w:r w:rsidRPr="004C1F1D">
        <w:rPr>
          <w:rFonts w:ascii="Aptos" w:hAnsi="Aptos"/>
        </w:rPr>
        <w:t>The first global hypothesis tested is </w:t>
      </w:r>
      <w:r w:rsidRPr="004C1F1D">
        <w:rPr>
          <w:rFonts w:ascii="Aptos" w:hAnsi="Aptos"/>
          <w:b/>
          <w:bCs/>
        </w:rPr>
        <w:t>effective dimensionality (ED)</w:t>
      </w:r>
      <w:r w:rsidRPr="004C1F1D">
        <w:rPr>
          <w:rFonts w:ascii="Aptos" w:hAnsi="Aptos"/>
        </w:rPr>
        <w:t>. Across trained and random models together, ED appears correlated with veRSA (</w:t>
      </w:r>
      <w:r w:rsidRPr="004C1F1D">
        <w:rPr>
          <w:rFonts w:ascii="Aptos" w:hAnsi="Aptos"/>
          <w:b/>
          <w:bCs/>
        </w:rPr>
        <w:t>r</w:t>
      </w:r>
      <w:r w:rsidRPr="004C1F1D">
        <w:rPr>
          <w:rFonts w:ascii="Segoe UI Symbol" w:hAnsi="Segoe UI Symbol" w:cs="Segoe UI Symbol"/>
          <w:b/>
          <w:bCs/>
        </w:rPr>
        <w:t>ₛ</w:t>
      </w:r>
      <w:r w:rsidRPr="004C1F1D">
        <w:rPr>
          <w:rFonts w:ascii="Aptos" w:hAnsi="Aptos"/>
          <w:b/>
          <w:bCs/>
        </w:rPr>
        <w:t xml:space="preserve"> = 0.489</w:t>
      </w:r>
      <w:r w:rsidRPr="004C1F1D">
        <w:rPr>
          <w:rFonts w:ascii="Aptos" w:hAnsi="Aptos"/>
        </w:rPr>
        <w:t>), but once trained and random models are separated, the relationship disappears for trained models. The paper therefore rejects </w:t>
      </w:r>
      <w:r w:rsidRPr="004C1F1D">
        <w:rPr>
          <w:rFonts w:ascii="Aptos" w:hAnsi="Aptos"/>
          <w:i/>
          <w:iCs/>
        </w:rPr>
        <w:t>this particular ED metric</w:t>
      </w:r>
      <w:r w:rsidRPr="004C1F1D">
        <w:rPr>
          <w:rFonts w:ascii="Aptos" w:hAnsi="Aptos"/>
        </w:rPr>
        <w:t> as a general explanation for emergent brain predictivity.</w:t>
      </w:r>
    </w:p>
    <w:p w14:paraId="4A5F5EE8" w14:textId="7BB7B4E8" w:rsidR="004C1F1D" w:rsidRDefault="004C1F1D" w:rsidP="004C1F1D">
      <w:pPr>
        <w:rPr>
          <w:rFonts w:ascii="Aptos" w:hAnsi="Aptos"/>
        </w:rPr>
      </w:pPr>
      <w:r w:rsidRPr="004C1F1D">
        <w:rPr>
          <w:rFonts w:ascii="Aptos" w:hAnsi="Aptos"/>
        </w:rPr>
        <w:t>The second global hypothesis is </w:t>
      </w:r>
      <w:r w:rsidRPr="004C1F1D">
        <w:rPr>
          <w:rFonts w:ascii="Aptos" w:hAnsi="Aptos"/>
          <w:b/>
          <w:bCs/>
        </w:rPr>
        <w:t>ImageNet top-1 accuracy</w:t>
      </w:r>
      <w:r w:rsidRPr="004C1F1D">
        <w:rPr>
          <w:rFonts w:ascii="Aptos" w:hAnsi="Aptos"/>
        </w:rPr>
        <w:t>. The result is near-null: no relation for cRSA and only a weak, non-significant trend for veRSA. This directly weakens a once-influential assumption that better object classification necessarily yields better neural prediction, at least among modern high-performing models.</w:t>
      </w:r>
    </w:p>
    <w:p w14:paraId="34744357" w14:textId="1D44A5A8" w:rsidR="004C1F1D" w:rsidRPr="00892BB4" w:rsidRDefault="004C1F1D" w:rsidP="004C1F1D">
      <w:pPr>
        <w:rPr>
          <w:rFonts w:ascii="Aptos" w:hAnsi="Aptos"/>
        </w:rPr>
      </w:pPr>
      <w:r w:rsidRPr="004C1F1D">
        <w:rPr>
          <w:rFonts w:ascii="Aptos" w:hAnsi="Aptos"/>
        </w:rPr>
        <w:t>The third global hypothesis is </w:t>
      </w:r>
      <w:r w:rsidRPr="004C1F1D">
        <w:rPr>
          <w:rFonts w:ascii="Aptos" w:hAnsi="Aptos"/>
          <w:b/>
          <w:bCs/>
        </w:rPr>
        <w:t>parameter count</w:t>
      </w:r>
      <w:r w:rsidRPr="004C1F1D">
        <w:rPr>
          <w:rFonts w:ascii="Aptos" w:hAnsi="Aptos"/>
        </w:rPr>
        <w:t>. Here the paper finds no clean story: cRSA tends to decrease with more parameters for trained models, while veRSA shows a non-significant increase. For untrained models, trends differ again. The conclusion is deliberately modest: </w:t>
      </w:r>
      <w:r w:rsidRPr="004C1F1D">
        <w:rPr>
          <w:rFonts w:ascii="Aptos" w:hAnsi="Aptos"/>
          <w:b/>
          <w:bCs/>
        </w:rPr>
        <w:t>model size is not a consistent standalone predictor of high-level brain predictivity</w:t>
      </w:r>
      <w:r w:rsidRPr="004C1F1D">
        <w:rPr>
          <w:rFonts w:ascii="Aptos" w:hAnsi="Aptos"/>
        </w:rPr>
        <w:t> in this survey.</w:t>
      </w:r>
    </w:p>
    <w:sectPr w:rsidR="004C1F1D" w:rsidRPr="00892B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27"/>
    <w:rsid w:val="000B3FFE"/>
    <w:rsid w:val="00146618"/>
    <w:rsid w:val="004C1F1D"/>
    <w:rsid w:val="004E3927"/>
    <w:rsid w:val="00591E4D"/>
    <w:rsid w:val="00892BB4"/>
    <w:rsid w:val="00EF40D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BFB0BED"/>
  <w15:chartTrackingRefBased/>
  <w15:docId w15:val="{E0E4640E-32EB-1641-A2BD-F1F1BAC38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27"/>
    <w:rPr>
      <w:rFonts w:eastAsiaTheme="majorEastAsia" w:cstheme="majorBidi"/>
      <w:color w:val="272727" w:themeColor="text1" w:themeTint="D8"/>
    </w:rPr>
  </w:style>
  <w:style w:type="paragraph" w:styleId="Title">
    <w:name w:val="Title"/>
    <w:basedOn w:val="Normal"/>
    <w:next w:val="Normal"/>
    <w:link w:val="TitleChar"/>
    <w:uiPriority w:val="10"/>
    <w:qFormat/>
    <w:rsid w:val="004E3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27"/>
    <w:pPr>
      <w:spacing w:before="160"/>
      <w:jc w:val="center"/>
    </w:pPr>
    <w:rPr>
      <w:i/>
      <w:iCs/>
      <w:color w:val="404040" w:themeColor="text1" w:themeTint="BF"/>
    </w:rPr>
  </w:style>
  <w:style w:type="character" w:customStyle="1" w:styleId="QuoteChar">
    <w:name w:val="Quote Char"/>
    <w:basedOn w:val="DefaultParagraphFont"/>
    <w:link w:val="Quote"/>
    <w:uiPriority w:val="29"/>
    <w:rsid w:val="004E3927"/>
    <w:rPr>
      <w:i/>
      <w:iCs/>
      <w:color w:val="404040" w:themeColor="text1" w:themeTint="BF"/>
    </w:rPr>
  </w:style>
  <w:style w:type="paragraph" w:styleId="ListParagraph">
    <w:name w:val="List Paragraph"/>
    <w:basedOn w:val="Normal"/>
    <w:uiPriority w:val="34"/>
    <w:qFormat/>
    <w:rsid w:val="004E3927"/>
    <w:pPr>
      <w:ind w:left="720"/>
      <w:contextualSpacing/>
    </w:pPr>
  </w:style>
  <w:style w:type="character" w:styleId="IntenseEmphasis">
    <w:name w:val="Intense Emphasis"/>
    <w:basedOn w:val="DefaultParagraphFont"/>
    <w:uiPriority w:val="21"/>
    <w:qFormat/>
    <w:rsid w:val="004E3927"/>
    <w:rPr>
      <w:i/>
      <w:iCs/>
      <w:color w:val="0F4761" w:themeColor="accent1" w:themeShade="BF"/>
    </w:rPr>
  </w:style>
  <w:style w:type="paragraph" w:styleId="IntenseQuote">
    <w:name w:val="Intense Quote"/>
    <w:basedOn w:val="Normal"/>
    <w:next w:val="Normal"/>
    <w:link w:val="IntenseQuoteChar"/>
    <w:uiPriority w:val="30"/>
    <w:qFormat/>
    <w:rsid w:val="004E3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27"/>
    <w:rPr>
      <w:i/>
      <w:iCs/>
      <w:color w:val="0F4761" w:themeColor="accent1" w:themeShade="BF"/>
    </w:rPr>
  </w:style>
  <w:style w:type="character" w:styleId="IntenseReference">
    <w:name w:val="Intense Reference"/>
    <w:basedOn w:val="DefaultParagraphFont"/>
    <w:uiPriority w:val="32"/>
    <w:qFormat/>
    <w:rsid w:val="004E3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sheehan mathur</dc:creator>
  <cp:keywords/>
  <dc:description/>
  <cp:lastModifiedBy>sheehan mathur</cp:lastModifiedBy>
  <cp:revision>4</cp:revision>
  <dcterms:created xsi:type="dcterms:W3CDTF">2026-07-06T23:04:00Z</dcterms:created>
  <dcterms:modified xsi:type="dcterms:W3CDTF">2026-07-07T10:29:00Z</dcterms:modified>
</cp:coreProperties>
</file>