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Quantum_AgroX™ – Complete Project Architecture</w:t>
      </w:r>
    </w:p>
    <w:p>
      <w:pPr>
        <w:jc w:val="center"/>
      </w:pPr>
      <w:r>
        <w:t>Quantum Machine Learning Platform for Botanical Acaricide &amp; Agrochemical Discovery</w:t>
      </w:r>
    </w:p>
    <w:p>
      <w:pPr>
        <w:pStyle w:val="Heading1"/>
      </w:pPr>
      <w:r>
        <w:t>1. Executive concept</w:t>
      </w:r>
    </w:p>
    <w:p>
      <w:r>
        <w:t>Quantum_AgroX is proposed as an agriculture-focused molecular intelligence platform. It should combine conventional cheminformatics, machine learning and quantum machine learning (QML) for discovery, efficacy prediction, target interaction analysis, resistance assessment and safety prioritization of botanical and synthetic agrochemical candidates.</w:t>
      </w:r>
    </w:p>
    <w:p>
      <w:r>
        <w:t>The supplied Commiphora swynnertonii paper is used as the first benchmark case: GC–MS phytochemicals, tick bioassays, LC50/LC90, AChE structural modelling and docking. The paper reports concentration/time-dependent acaricidal effects and selected AChE docking results; it does not provide the complete raw dataset in the supplied material.</w:t>
      </w:r>
    </w:p>
    <w:p>
      <w:pPr>
        <w:pStyle w:val="Heading1"/>
      </w:pPr>
      <w:r>
        <w:t>2. Core product architecture</w:t>
      </w:r>
    </w:p>
    <w:p>
      <w:r>
        <w:t>USER / RESEARCHER</w:t>
        <w:br/>
        <w:t xml:space="preserve">        │</w:t>
        <w:br/>
        <w:t xml:space="preserve">        ▼</w:t>
        <w:br/>
        <w:t>┌─────────────────────────────────────────────────────────────┐</w:t>
        <w:br/>
        <w:t>│                    Quantum_AgroX UI                         │</w:t>
        <w:br/>
        <w:t>│ Project • Dataset • Target • Compound • QML • Reports      │</w:t>
        <w:br/>
        <w:t>└─────────────────────────────────────────────────────────────┘</w:t>
        <w:br/>
        <w:t xml:space="preserve">        │</w:t>
        <w:br/>
        <w:t xml:space="preserve">        ▼</w:t>
        <w:br/>
        <w:t>┌─────────────────────────────────────────────────────────────┐</w:t>
        <w:br/>
        <w:t>│                  DATA &amp; KNOWLEDGE LAYER                     │</w:t>
        <w:br/>
        <w:t>│ GC-MS • Structures • Bioassay • Targets • Variants • MD    │</w:t>
        <w:br/>
        <w:t>│ Docking • Toxicity • Resistance • Field metadata           │</w:t>
        <w:br/>
        <w:t>└─────────────────────────────────────────────────────────────┘</w:t>
        <w:br/>
        <w:t xml:space="preserve">        │</w:t>
        <w:br/>
        <w:t xml:space="preserve">        ▼</w:t>
        <w:br/>
        <w:t>┌───────────────────────┬──────────────────────┬──────────────┐</w:t>
        <w:br/>
        <w:t>│ Classical ML          │ Quantum ML            │ Simulation   │</w:t>
        <w:br/>
        <w:t>│ RF / XGBoost / SVM    │ QKernel / QSVM / VQC │ Docking / MD │</w:t>
        <w:br/>
        <w:t>│ Regression / ranking  │ QNN / QGNN            │ MM/PBSA     │</w:t>
        <w:br/>
        <w:t>└───────────────────────┴──────────────────────┴──────────────┘</w:t>
        <w:br/>
        <w:t xml:space="preserve">        │</w:t>
        <w:br/>
        <w:t xml:space="preserve">        ▼</w:t>
        <w:br/>
        <w:t>┌─────────────────────────────────────────────────────────────┐</w:t>
        <w:br/>
        <w:t>│              MULTI-OBJECTIVE AGROX ENGINE                   │</w:t>
        <w:br/>
        <w:t>│ Efficacy + Selectivity + Resistance + Eco-risk + Stability │</w:t>
        <w:br/>
        <w:t>└─────────────────────────────────────────────────────────────┘</w:t>
        <w:br/>
        <w:t xml:space="preserve">        │</w:t>
        <w:br/>
        <w:t xml:space="preserve">        ▼</w:t>
        <w:br/>
        <w:t xml:space="preserve"> Candidate ranking • Dose guidance • Validation priorities • Reports</w:t>
      </w:r>
    </w:p>
    <w:p>
      <w:pPr>
        <w:pStyle w:val="Heading1"/>
      </w:pPr>
      <w:r>
        <w:t>3. Module architecture</w:t>
      </w:r>
    </w:p>
    <w:p>
      <w:pPr>
        <w:pStyle w:val="ListBullet"/>
      </w:pPr>
      <w:r>
        <w:rPr>
          <w:b/>
        </w:rPr>
        <w:t xml:space="preserve">AgroDataHub™ – </w:t>
      </w:r>
      <w:r>
        <w:t>Import and standardize GC-MS, SDF/SMILES, FASTA, VCF, bioassay and docking datasets.</w:t>
      </w:r>
    </w:p>
    <w:p>
      <w:pPr>
        <w:pStyle w:val="ListBullet"/>
      </w:pPr>
      <w:r>
        <w:rPr>
          <w:b/>
        </w:rPr>
        <w:t xml:space="preserve">AgroPhytoX™ – </w:t>
      </w:r>
      <w:r>
        <w:t>Natural-product and phytochemical library; plant part, extraction solvent, abundance and structure metadata.</w:t>
      </w:r>
    </w:p>
    <w:p>
      <w:pPr>
        <w:pStyle w:val="ListBullet"/>
      </w:pPr>
      <w:r>
        <w:rPr>
          <w:b/>
        </w:rPr>
        <w:t xml:space="preserve">AgroTargetX™ – </w:t>
      </w:r>
      <w:r>
        <w:t>Target discovery for pests, pathogens, fungi, bacteria, nematodes and weeds.</w:t>
      </w:r>
    </w:p>
    <w:p>
      <w:pPr>
        <w:pStyle w:val="ListBullet"/>
      </w:pPr>
      <w:r>
        <w:rPr>
          <w:b/>
        </w:rPr>
        <w:t xml:space="preserve">AgroSiteMap™ – </w:t>
      </w:r>
      <w:r>
        <w:t>Binding-site, pocket, cryptic-pocket and druggability analysis.</w:t>
      </w:r>
    </w:p>
    <w:p>
      <w:pPr>
        <w:pStyle w:val="ListBullet"/>
      </w:pPr>
      <w:r>
        <w:rPr>
          <w:b/>
        </w:rPr>
        <w:t xml:space="preserve">AgroDockX™ – </w:t>
      </w:r>
      <w:r>
        <w:t>Protein–ligand docking and affinity ranking.</w:t>
      </w:r>
    </w:p>
    <w:p>
      <w:pPr>
        <w:pStyle w:val="ListBullet"/>
      </w:pPr>
      <w:r>
        <w:rPr>
          <w:b/>
        </w:rPr>
        <w:t xml:space="preserve">AgroDoseX™ – </w:t>
      </w:r>
      <w:r>
        <w:t>Dose-response modelling, LC50/LC90 and time-dependent efficacy prediction.</w:t>
      </w:r>
    </w:p>
    <w:p>
      <w:pPr>
        <w:pStyle w:val="ListBullet"/>
      </w:pPr>
      <w:r>
        <w:rPr>
          <w:b/>
        </w:rPr>
        <w:t xml:space="preserve">AgroQML™ – </w:t>
      </w:r>
      <w:r>
        <w:t>Quantum kernels, QSVM, VQC, QNN and hybrid quantum-classical prediction.</w:t>
      </w:r>
    </w:p>
    <w:p>
      <w:pPr>
        <w:pStyle w:val="ListBullet"/>
      </w:pPr>
      <w:r>
        <w:rPr>
          <w:b/>
        </w:rPr>
        <w:t xml:space="preserve">AgroMD™ – </w:t>
      </w:r>
      <w:r>
        <w:t>Molecular dynamics, RMSD/RMSF, interaction persistence and MM/PBSA.</w:t>
      </w:r>
    </w:p>
    <w:p>
      <w:pPr>
        <w:pStyle w:val="ListBullet"/>
      </w:pPr>
      <w:r>
        <w:rPr>
          <w:b/>
        </w:rPr>
        <w:t xml:space="preserve">AgroResistanceScan™ – </w:t>
      </w:r>
      <w:r>
        <w:t>Mutation → structure → affinity-change workflow for resistance hypotheses.</w:t>
      </w:r>
    </w:p>
    <w:p>
      <w:pPr>
        <w:pStyle w:val="ListBullet"/>
      </w:pPr>
      <w:r>
        <w:rPr>
          <w:b/>
        </w:rPr>
        <w:t xml:space="preserve">AgroSelect™ – </w:t>
      </w:r>
      <w:r>
        <w:t>Pest/pathogen versus crop/beneficial-organism selectivity scoring.</w:t>
      </w:r>
    </w:p>
    <w:p>
      <w:pPr>
        <w:pStyle w:val="ListBullet"/>
      </w:pPr>
      <w:r>
        <w:rPr>
          <w:b/>
        </w:rPr>
        <w:t xml:space="preserve">AgroEcoRisk™ – </w:t>
      </w:r>
      <w:r>
        <w:t>Environmental and non-target risk prioritization.</w:t>
      </w:r>
    </w:p>
    <w:p>
      <w:pPr>
        <w:pStyle w:val="ListBullet"/>
      </w:pPr>
      <w:r>
        <w:rPr>
          <w:b/>
        </w:rPr>
        <w:t xml:space="preserve">AgroSynergyX™ – </w:t>
      </w:r>
      <w:r>
        <w:t>Combination/synergy analysis for botanical mixtures and pesticide combinations.</w:t>
      </w:r>
    </w:p>
    <w:p>
      <w:pPr>
        <w:pStyle w:val="ListBullet"/>
      </w:pPr>
      <w:r>
        <w:rPr>
          <w:b/>
        </w:rPr>
        <w:t xml:space="preserve">AgroOptimize™ – </w:t>
      </w:r>
      <w:r>
        <w:t>Multi-objective candidate and dose/formulation optimization.</w:t>
      </w:r>
    </w:p>
    <w:p>
      <w:pPr>
        <w:pStyle w:val="ListBullet"/>
      </w:pPr>
      <w:r>
        <w:rPr>
          <w:b/>
        </w:rPr>
        <w:t xml:space="preserve">AgroReport™ – </w:t>
      </w:r>
      <w:r>
        <w:t>Reproducible reports, rankings, figures and audit trails.</w:t>
      </w:r>
    </w:p>
    <w:p>
      <w:pPr>
        <w:pStyle w:val="Heading1"/>
      </w:pPr>
      <w:r>
        <w:t>4. Quantum machine learning architecture</w:t>
      </w:r>
    </w:p>
    <w:p>
      <w:r>
        <w:t>DATA</w:t>
        <w:br/>
        <w:t xml:space="preserve">  ↓</w:t>
        <w:br/>
        <w:t>Feature engineering / dimensionality reduction</w:t>
        <w:br/>
        <w:t xml:space="preserve">  ↓</w:t>
        <w:br/>
        <w:t>Feature selection</w:t>
        <w:br/>
        <w:t xml:space="preserve">  ↓</w:t>
        <w:br/>
        <w:t>Classical normalization</w:t>
        <w:br/>
        <w:t xml:space="preserve">  ↓</w:t>
        <w:br/>
        <w:t>Quantum encoding</w:t>
        <w:br/>
        <w:t xml:space="preserve">  ├── Angle encoding</w:t>
        <w:br/>
        <w:t xml:space="preserve">  ├── Amplitude encoding (future)</w:t>
        <w:br/>
        <w:t xml:space="preserve">  └── Feature-map circuits</w:t>
        <w:br/>
        <w:t xml:space="preserve">  ↓</w:t>
        <w:br/>
        <w:t>Quantum layer</w:t>
        <w:br/>
        <w:t xml:space="preserve">  ├── Quantum fidelity kernel</w:t>
        <w:br/>
        <w:t xml:space="preserve">  ├── QSVM</w:t>
        <w:br/>
        <w:t xml:space="preserve">  ├── Quantum Kernel Regression</w:t>
        <w:br/>
        <w:t xml:space="preserve">  ├── VQC</w:t>
        <w:br/>
        <w:t xml:space="preserve">  └── QNN / QGNN (future)</w:t>
        <w:br/>
        <w:t xml:space="preserve">  ↓</w:t>
        <w:br/>
        <w:t>Classical optimizer / estimator</w:t>
        <w:br/>
        <w:t xml:space="preserve">  ↓</w:t>
        <w:br/>
        <w:t>Cross-validation</w:t>
        <w:br/>
        <w:t xml:space="preserve">  ↓</w:t>
        <w:br/>
        <w:t>Comparison with classical baselines</w:t>
        <w:br/>
        <w:t xml:space="preserve">  ↓</w:t>
        <w:br/>
        <w:t>Explainability + uncertainty</w:t>
        <w:br/>
        <w:t xml:space="preserve">  ↓</w:t>
        <w:br/>
        <w:t>AgroX decision score</w:t>
      </w:r>
    </w:p>
    <w:p>
      <w:pPr>
        <w:pStyle w:val="Heading1"/>
      </w:pPr>
      <w:r>
        <w:t>5. QML models and intended use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Task</w:t>
            </w:r>
          </w:p>
        </w:tc>
        <w:tc>
          <w:tcPr>
            <w:tcW w:type="dxa" w:w="2160"/>
          </w:tcPr>
          <w:p>
            <w:r>
              <w:t>Example AgroX target</w:t>
            </w:r>
          </w:p>
        </w:tc>
        <w:tc>
          <w:tcPr>
            <w:tcW w:type="dxa" w:w="2160"/>
          </w:tcPr>
          <w:p>
            <w:r>
              <w:t>Current implementation</w:t>
            </w:r>
          </w:p>
        </w:tc>
      </w:tr>
      <w:tr>
        <w:tc>
          <w:tcPr>
            <w:tcW w:type="dxa" w:w="2160"/>
          </w:tcPr>
          <w:p>
            <w:r>
              <w:t>Quantum Fidelity Kernel + Kernel Ridge</w:t>
            </w:r>
          </w:p>
        </w:tc>
        <w:tc>
          <w:tcPr>
            <w:tcW w:type="dxa" w:w="2160"/>
          </w:tcPr>
          <w:p>
            <w:r>
              <w:t>Regression</w:t>
            </w:r>
          </w:p>
        </w:tc>
        <w:tc>
          <w:tcPr>
            <w:tcW w:type="dxa" w:w="2160"/>
          </w:tcPr>
          <w:p>
            <w:r>
              <w:t>Mortality fraction / LC50</w:t>
            </w:r>
          </w:p>
        </w:tc>
        <w:tc>
          <w:tcPr>
            <w:tcW w:type="dxa" w:w="2160"/>
          </w:tcPr>
          <w:p>
            <w:r>
              <w:t>Yes</w:t>
            </w:r>
          </w:p>
        </w:tc>
      </w:tr>
      <w:tr>
        <w:tc>
          <w:tcPr>
            <w:tcW w:type="dxa" w:w="2160"/>
          </w:tcPr>
          <w:p>
            <w:r>
              <w:t>Quantum Kernel SVM (QSVM-style)</w:t>
            </w:r>
          </w:p>
        </w:tc>
        <w:tc>
          <w:tcPr>
            <w:tcW w:type="dxa" w:w="2160"/>
          </w:tcPr>
          <w:p>
            <w:r>
              <w:t>Classification</w:t>
            </w:r>
          </w:p>
        </w:tc>
        <w:tc>
          <w:tcPr>
            <w:tcW w:type="dxa" w:w="2160"/>
          </w:tcPr>
          <w:p>
            <w:r>
              <w:t>High vs lower acaricidal efficacy</w:t>
            </w:r>
          </w:p>
        </w:tc>
        <w:tc>
          <w:tcPr>
            <w:tcW w:type="dxa" w:w="2160"/>
          </w:tcPr>
          <w:p>
            <w:r>
              <w:t>Yes</w:t>
            </w:r>
          </w:p>
        </w:tc>
      </w:tr>
      <w:tr>
        <w:tc>
          <w:tcPr>
            <w:tcW w:type="dxa" w:w="2160"/>
          </w:tcPr>
          <w:p>
            <w:r>
              <w:t>Variational Quantum Classifier</w:t>
            </w:r>
          </w:p>
        </w:tc>
        <w:tc>
          <w:tcPr>
            <w:tcW w:type="dxa" w:w="2160"/>
          </w:tcPr>
          <w:p>
            <w:r>
              <w:t>Classification</w:t>
            </w:r>
          </w:p>
        </w:tc>
        <w:tc>
          <w:tcPr>
            <w:tcW w:type="dxa" w:w="2160"/>
          </w:tcPr>
          <w:p>
            <w:r>
              <w:t>High vs lower efficacy</w:t>
            </w:r>
          </w:p>
        </w:tc>
        <w:tc>
          <w:tcPr>
            <w:tcW w:type="dxa" w:w="2160"/>
          </w:tcPr>
          <w:p>
            <w:r>
              <w:t>Yes</w:t>
            </w:r>
          </w:p>
        </w:tc>
      </w:tr>
      <w:tr>
        <w:tc>
          <w:tcPr>
            <w:tcW w:type="dxa" w:w="2160"/>
          </w:tcPr>
          <w:p>
            <w:r>
              <w:t>VQC / QNN Regression</w:t>
            </w:r>
          </w:p>
        </w:tc>
        <w:tc>
          <w:tcPr>
            <w:tcW w:type="dxa" w:w="2160"/>
          </w:tcPr>
          <w:p>
            <w:r>
              <w:t>Regression</w:t>
            </w:r>
          </w:p>
        </w:tc>
        <w:tc>
          <w:tcPr>
            <w:tcW w:type="dxa" w:w="2160"/>
          </w:tcPr>
          <w:p>
            <w:r>
              <w:t>LC50 / LC90 / toxicity</w:t>
            </w:r>
          </w:p>
        </w:tc>
        <w:tc>
          <w:tcPr>
            <w:tcW w:type="dxa" w:w="2160"/>
          </w:tcPr>
          <w:p>
            <w:r>
              <w:t>Next</w:t>
            </w:r>
          </w:p>
        </w:tc>
      </w:tr>
      <w:tr>
        <w:tc>
          <w:tcPr>
            <w:tcW w:type="dxa" w:w="2160"/>
          </w:tcPr>
          <w:p>
            <w:r>
              <w:t>Quantum Graph Neural Network</w:t>
            </w:r>
          </w:p>
        </w:tc>
        <w:tc>
          <w:tcPr>
            <w:tcW w:type="dxa" w:w="2160"/>
          </w:tcPr>
          <w:p>
            <w:r>
              <w:t>Graph learning</w:t>
            </w:r>
          </w:p>
        </w:tc>
        <w:tc>
          <w:tcPr>
            <w:tcW w:type="dxa" w:w="2160"/>
          </w:tcPr>
          <w:p>
            <w:r>
              <w:t>Compound–target interaction</w:t>
            </w:r>
          </w:p>
        </w:tc>
        <w:tc>
          <w:tcPr>
            <w:tcW w:type="dxa" w:w="2160"/>
          </w:tcPr>
          <w:p>
            <w:r>
              <w:t>Future</w:t>
            </w:r>
          </w:p>
        </w:tc>
      </w:tr>
      <w:tr>
        <w:tc>
          <w:tcPr>
            <w:tcW w:type="dxa" w:w="2160"/>
          </w:tcPr>
          <w:p>
            <w:r>
              <w:t>Quantum Bayesian Optimization</w:t>
            </w:r>
          </w:p>
        </w:tc>
        <w:tc>
          <w:tcPr>
            <w:tcW w:type="dxa" w:w="2160"/>
          </w:tcPr>
          <w:p>
            <w:r>
              <w:t>Optimization</w:t>
            </w:r>
          </w:p>
        </w:tc>
        <w:tc>
          <w:tcPr>
            <w:tcW w:type="dxa" w:w="2160"/>
          </w:tcPr>
          <w:p>
            <w:r>
              <w:t>Dose/formulation/combination</w:t>
            </w:r>
          </w:p>
        </w:tc>
        <w:tc>
          <w:tcPr>
            <w:tcW w:type="dxa" w:w="2160"/>
          </w:tcPr>
          <w:p>
            <w:r>
              <w:t>Future</w:t>
            </w:r>
          </w:p>
        </w:tc>
      </w:tr>
    </w:tbl>
    <w:p>
      <w:pPr>
        <w:pStyle w:val="Heading1"/>
      </w:pPr>
      <w:r>
        <w:t>6. Data model</w:t>
      </w:r>
    </w:p>
    <w:p>
      <w:r>
        <w:t>Project</w:t>
        <w:br/>
        <w:t xml:space="preserve"> ├── Crop / host</w:t>
        <w:br/>
        <w:t xml:space="preserve"> ├── Pest / pathogen</w:t>
        <w:br/>
        <w:t xml:space="preserve"> ├── Target protein</w:t>
        <w:br/>
        <w:t xml:space="preserve"> │    ├── sequence</w:t>
        <w:br/>
        <w:t xml:space="preserve"> │    ├── structure/model</w:t>
        <w:br/>
        <w:t xml:space="preserve"> │    └── variants</w:t>
        <w:br/>
        <w:t xml:space="preserve"> ├── Compound</w:t>
        <w:br/>
        <w:t xml:space="preserve"> │    ├── SMILES / SDF</w:t>
        <w:br/>
        <w:t xml:space="preserve"> │    ├── GC-MS metadata</w:t>
        <w:br/>
        <w:t xml:space="preserve"> │    ├── descriptors</w:t>
        <w:br/>
        <w:t xml:space="preserve"> │    └── formulation metadata</w:t>
        <w:br/>
        <w:t xml:space="preserve"> ├── Bioassay</w:t>
        <w:br/>
        <w:t xml:space="preserve"> │    ├── replicate</w:t>
        <w:br/>
        <w:t xml:space="preserve"> │    ├── concentration</w:t>
        <w:br/>
        <w:t xml:space="preserve"> │    ├── exposure time</w:t>
        <w:br/>
        <w:t xml:space="preserve"> │    └── response</w:t>
        <w:br/>
        <w:t xml:space="preserve"> ├── Docking</w:t>
        <w:br/>
        <w:t xml:space="preserve"> │    ├── pose</w:t>
        <w:br/>
        <w:t xml:space="preserve"> │    ├── affinity</w:t>
        <w:br/>
        <w:t xml:space="preserve"> │    └── interactions</w:t>
        <w:br/>
        <w:t xml:space="preserve"> ├── QML prediction</w:t>
        <w:br/>
        <w:t xml:space="preserve"> │    ├── feature set</w:t>
        <w:br/>
        <w:t xml:space="preserve"> │    ├── circuit</w:t>
        <w:br/>
        <w:t xml:space="preserve"> │    ├── model version</w:t>
        <w:br/>
        <w:t xml:space="preserve"> │    └── prediction + uncertainty</w:t>
        <w:br/>
        <w:t xml:space="preserve"> └── Safety / resistance</w:t>
        <w:br/>
        <w:t xml:space="preserve">      ├── non-target score</w:t>
        <w:br/>
        <w:t xml:space="preserve">      └── mutation impact</w:t>
      </w:r>
    </w:p>
    <w:p>
      <w:pPr>
        <w:pStyle w:val="Heading1"/>
      </w:pPr>
      <w:r>
        <w:t>7. Current benchmark dataset</w:t>
      </w:r>
    </w:p>
    <w:p>
      <w:r>
        <w:t>The included benchmark integrates the paper-reported larval and adult mean mortality tables, selected phytochemicals, reported LC50/LC90 values, selected docking results, docking validation and AChE model validation. The QML mortality dataset contains derived categorical encodings plus concentration, exposure time and reported mean mortality.</w:t>
      </w:r>
    </w:p>
    <w:p>
      <w:r>
        <w:t>The paper reports that 82 phytochemicals satisfying drug-likeness/bioavailability criteria were subjected to docking, but the complete dataset is in Supplementary File 1. The supplied paper states that data will be made available on request.</w:t>
      </w:r>
    </w:p>
    <w:p>
      <w:pPr>
        <w:pStyle w:val="Heading1"/>
      </w:pPr>
      <w:r>
        <w:t>8. Recommended production dataset</w:t>
      </w:r>
    </w:p>
    <w:p>
      <w:pPr>
        <w:pStyle w:val="ListBullet"/>
      </w:pPr>
      <w:r>
        <w:t>Raw bioassay replicate table: one row per experimental unit, not only means.</w:t>
      </w:r>
    </w:p>
    <w:p>
      <w:pPr>
        <w:pStyle w:val="ListBullet"/>
      </w:pPr>
      <w:r>
        <w:t>Compound table with canonical SMILES/InChIKey/PubChem CID and measured GC-MS abundance.</w:t>
      </w:r>
    </w:p>
    <w:p>
      <w:pPr>
        <w:pStyle w:val="ListBullet"/>
      </w:pPr>
      <w:r>
        <w:t>Descriptor table: MW, LogP, TPSA, HBD, HBA, rotatable bonds, rings, fragments and quantum-chemistry descriptors where justified.</w:t>
      </w:r>
    </w:p>
    <w:p>
      <w:pPr>
        <w:pStyle w:val="ListBullet"/>
      </w:pPr>
      <w:r>
        <w:t>Target table: FASTA, accession, organism, protein family, structure/model and active-site residues.</w:t>
      </w:r>
    </w:p>
    <w:p>
      <w:pPr>
        <w:pStyle w:val="ListBullet"/>
      </w:pPr>
      <w:r>
        <w:t>Docking table: receptor, ligand, pose, affinity, RMSD and interaction fingerprint.</w:t>
      </w:r>
    </w:p>
    <w:p>
      <w:pPr>
        <w:pStyle w:val="ListBullet"/>
      </w:pPr>
      <w:r>
        <w:t>Experimental inhibition table: AChE IC50/Ki if experimentally measured.</w:t>
      </w:r>
    </w:p>
    <w:p>
      <w:pPr>
        <w:pStyle w:val="ListBullet"/>
      </w:pPr>
      <w:r>
        <w:t>Resistance table: target mutation, structural change, predicted affinity change and observed resistance phenotype.</w:t>
      </w:r>
    </w:p>
    <w:p>
      <w:pPr>
        <w:pStyle w:val="ListBullet"/>
      </w:pPr>
      <w:r>
        <w:t>Ecotoxicology table: organism, endpoint, concentration and safety classification.</w:t>
      </w:r>
    </w:p>
    <w:p>
      <w:pPr>
        <w:pStyle w:val="ListBullet"/>
      </w:pPr>
      <w:r>
        <w:t>Provenance table: source, date, software version, parameters and data-processing step.</w:t>
      </w:r>
    </w:p>
    <w:p>
      <w:pPr>
        <w:pStyle w:val="Heading1"/>
      </w:pPr>
      <w:r>
        <w:t>9. End-to-end implementation workflow</w:t>
      </w:r>
    </w:p>
    <w:p>
      <w:pPr>
        <w:pStyle w:val="ListNumber"/>
      </w:pPr>
      <w:r>
        <w:t>1. Ingest GC-MS and bioassay data.</w:t>
      </w:r>
    </w:p>
    <w:p>
      <w:pPr>
        <w:pStyle w:val="ListNumber"/>
      </w:pPr>
      <w:r>
        <w:t>2. Standardize compound identities and remove duplicates.</w:t>
      </w:r>
    </w:p>
    <w:p>
      <w:pPr>
        <w:pStyle w:val="ListNumber"/>
      </w:pPr>
      <w:r>
        <w:t>3. Generate molecular descriptors and quality-control flags.</w:t>
      </w:r>
    </w:p>
    <w:p>
      <w:pPr>
        <w:pStyle w:val="ListNumber"/>
      </w:pPr>
      <w:r>
        <w:t>4. Prepare target sequences and structures.</w:t>
      </w:r>
    </w:p>
    <w:p>
      <w:pPr>
        <w:pStyle w:val="ListNumber"/>
      </w:pPr>
      <w:r>
        <w:t>5. Predict/curate binding sites.</w:t>
      </w:r>
    </w:p>
    <w:p>
      <w:pPr>
        <w:pStyle w:val="ListNumber"/>
      </w:pPr>
      <w:r>
        <w:t>6. Run docking and store poses/interactions.</w:t>
      </w:r>
    </w:p>
    <w:p>
      <w:pPr>
        <w:pStyle w:val="ListNumber"/>
      </w:pPr>
      <w:r>
        <w:t>7. Construct classical baseline models.</w:t>
      </w:r>
    </w:p>
    <w:p>
      <w:pPr>
        <w:pStyle w:val="ListNumber"/>
      </w:pPr>
      <w:r>
        <w:t>8. Select a small feature vector for the quantum circuit.</w:t>
      </w:r>
    </w:p>
    <w:p>
      <w:pPr>
        <w:pStyle w:val="ListNumber"/>
      </w:pPr>
      <w:r>
        <w:t>9. Normalize and angle-encode features.</w:t>
      </w:r>
    </w:p>
    <w:p>
      <w:pPr>
        <w:pStyle w:val="ListNumber"/>
      </w:pPr>
      <w:r>
        <w:t>10. Train quantum-kernel and variational models.</w:t>
      </w:r>
    </w:p>
    <w:p>
      <w:pPr>
        <w:pStyle w:val="ListNumber"/>
      </w:pPr>
      <w:r>
        <w:t>11. Compare QML against classical baselines using identical splits and metrics.</w:t>
      </w:r>
    </w:p>
    <w:p>
      <w:pPr>
        <w:pStyle w:val="ListNumber"/>
      </w:pPr>
      <w:r>
        <w:t>12. Perform cross-validation and sensitivity analysis.</w:t>
      </w:r>
    </w:p>
    <w:p>
      <w:pPr>
        <w:pStyle w:val="ListNumber"/>
      </w:pPr>
      <w:r>
        <w:t>13. Add MD/MM-PBSA and resistance/ecotoxicity evidence.</w:t>
      </w:r>
    </w:p>
    <w:p>
      <w:pPr>
        <w:pStyle w:val="ListNumber"/>
      </w:pPr>
      <w:r>
        <w:t>14. Generate an interpretable multi-objective AgroX candidate score.</w:t>
      </w:r>
    </w:p>
    <w:p>
      <w:pPr>
        <w:pStyle w:val="ListNumber"/>
      </w:pPr>
      <w:r>
        <w:t>15. Export a reproducible research report.</w:t>
      </w:r>
    </w:p>
    <w:p>
      <w:pPr>
        <w:pStyle w:val="Heading1"/>
      </w:pPr>
      <w:r>
        <w:t>10. Evaluation framework</w:t>
      </w:r>
    </w:p>
    <w:p>
      <w:r>
        <w:t>For regression: MAE, RMSE, R², calibration/uncertainty where available. For classification: accuracy, balanced accuracy, precision, recall, F1, ROC-AUC and PR-AUC. For ranking: Spearman correlation, NDCG and top-k enrichment. For QML, report simulator/hardware, qubit count, circuit depth, shots, noise model, random seed and classical comparator.</w:t>
      </w:r>
    </w:p>
    <w:p>
      <w:r>
        <w:t>A quantum model should not be described as superior merely because it produces a good score. The comparison must use the same data split, preprocessing, target, evaluation metrics and leakage controls as classical baselines.</w:t>
      </w:r>
    </w:p>
    <w:p>
      <w:pPr>
        <w:pStyle w:val="Heading1"/>
      </w:pPr>
      <w:r>
        <w:t>11. Critical scientific safeguards</w:t>
      </w:r>
    </w:p>
    <w:p>
      <w:pPr>
        <w:pStyle w:val="ListBullet"/>
      </w:pPr>
      <w:r>
        <w:t>The current paper-derived benchmark is small and aggregate; it is appropriate for pipeline development, not for demonstrating quantum advantage.</w:t>
      </w:r>
    </w:p>
    <w:p>
      <w:pPr>
        <w:pStyle w:val="ListBullet"/>
      </w:pPr>
      <w:r>
        <w:t>Do not treat docking scores as proof of AChE inhibition. The paper itself identifies this limitation.</w:t>
      </w:r>
    </w:p>
    <w:p>
      <w:pPr>
        <w:pStyle w:val="ListBullet"/>
      </w:pPr>
      <w:r>
        <w:t>Do not infer field efficacy, livestock safety or environmental safety from molecular docking alone.</w:t>
      </w:r>
    </w:p>
    <w:p>
      <w:pPr>
        <w:pStyle w:val="ListBullet"/>
      </w:pPr>
      <w:r>
        <w:t>Do not train and test on duplicate or near-duplicate observations without grouping controls.</w:t>
      </w:r>
    </w:p>
    <w:p>
      <w:pPr>
        <w:pStyle w:val="ListBullet"/>
      </w:pPr>
      <w:r>
        <w:t>Do not mix experimental measurements and model-generated labels as if they were equivalent.</w:t>
      </w:r>
    </w:p>
    <w:p>
      <w:pPr>
        <w:pStyle w:val="ListBullet"/>
      </w:pPr>
      <w:r>
        <w:t>Track every transformation from raw input to final prediction.</w:t>
      </w:r>
    </w:p>
    <w:p>
      <w:pPr>
        <w:pStyle w:val="Heading1"/>
      </w:pPr>
      <w:r>
        <w:t>12. Recommended technology stack</w:t>
      </w:r>
    </w:p>
    <w:p>
      <w:r>
        <w:t>Python; pandas/numpy; RDKit; scikit-learn; PennyLane for QML; AutoDock Vina/Open Babel for docking; GROMACS for MD; PostgreSQL or a document/graph database for production; FastAPI for the backend API; React/Next.js for the web UI; Docker for deployment; MLflow or equivalent for model/version tracking.</w:t>
      </w:r>
    </w:p>
    <w:p>
      <w:pPr>
        <w:pStyle w:val="Heading1"/>
      </w:pPr>
      <w:r>
        <w:t>13. Suggested commercial dashboard</w:t>
      </w:r>
    </w:p>
    <w:p>
      <w:pPr>
        <w:pStyle w:val="ListBullet"/>
      </w:pPr>
      <w:r>
        <w:t>Project overview: crop, pest/pathogen, target and study status.</w:t>
      </w:r>
    </w:p>
    <w:p>
      <w:pPr>
        <w:pStyle w:val="ListBullet"/>
      </w:pPr>
      <w:r>
        <w:t>Compound Explorer: phytochemical structures, abundance and predicted properties.</w:t>
      </w:r>
    </w:p>
    <w:p>
      <w:pPr>
        <w:pStyle w:val="ListBullet"/>
      </w:pPr>
      <w:r>
        <w:t>Target Explorer: target structure, pockets, conservation and resistance hotspots.</w:t>
      </w:r>
    </w:p>
    <w:p>
      <w:pPr>
        <w:pStyle w:val="ListBullet"/>
      </w:pPr>
      <w:r>
        <w:t>QML Lab: circuit, qubits, feature map, kernel and model metrics.</w:t>
      </w:r>
    </w:p>
    <w:p>
      <w:pPr>
        <w:pStyle w:val="ListBullet"/>
      </w:pPr>
      <w:r>
        <w:t>Candidate Ranking: efficacy, binding, selectivity, resistance and eco-risk.</w:t>
      </w:r>
    </w:p>
    <w:p>
      <w:pPr>
        <w:pStyle w:val="ListBullet"/>
      </w:pPr>
      <w:r>
        <w:t>Dose Optimizer: concentration/time response and LC50/LC90.</w:t>
      </w:r>
    </w:p>
    <w:p>
      <w:pPr>
        <w:pStyle w:val="ListBullet"/>
      </w:pPr>
      <w:r>
        <w:t>Resistance Simulator: mutation and predicted affinity change.</w:t>
      </w:r>
    </w:p>
    <w:p>
      <w:pPr>
        <w:pStyle w:val="ListBullet"/>
      </w:pPr>
      <w:r>
        <w:t>Evidence Panel: experimental versus computational evidence.</w:t>
      </w:r>
    </w:p>
    <w:p>
      <w:pPr>
        <w:pStyle w:val="ListBullet"/>
      </w:pPr>
      <w:r>
        <w:t>Reproducibility Panel: datasets, code versions and parameter audit trail.</w:t>
      </w:r>
    </w:p>
    <w:p>
      <w:pPr>
        <w:pStyle w:val="Heading1"/>
      </w:pPr>
      <w:r>
        <w:t>14. Current project file structure</w:t>
      </w:r>
    </w:p>
    <w:p>
      <w:r>
        <w:t>Quantum_AgroX_QML_Project/</w:t>
        <w:br/>
        <w:t>├── data/</w:t>
        <w:br/>
        <w:t>│   ├── raw/                         # paper-derived source tables</w:t>
        <w:br/>
        <w:t>│   ├── processed/                   # QML-ready datasets</w:t>
        <w:br/>
        <w:t>│   └── metadata/</w:t>
        <w:br/>
        <w:t>├── src/</w:t>
        <w:br/>
        <w:t>│   ├── 01_prepare_dataset.py</w:t>
        <w:br/>
        <w:t>│   ├── 02_classical_baselines.py</w:t>
        <w:br/>
        <w:t>│   ├── 03_quantum_kernel_regression.py</w:t>
        <w:br/>
        <w:t>│   ├── 04_quantum_kernel_classifier.py</w:t>
        <w:br/>
        <w:t>│   ├── 05_vqc_classifier.py</w:t>
        <w:br/>
        <w:t>│   └── main.py</w:t>
        <w:br/>
        <w:t>├── config/</w:t>
        <w:br/>
        <w:t>│   └── project_config.yaml</w:t>
        <w:br/>
        <w:t>├── results/</w:t>
        <w:br/>
        <w:t>│   ├── models/</w:t>
        <w:br/>
        <w:t>│   └── figures/</w:t>
        <w:br/>
        <w:t>├── notebooks/</w:t>
        <w:br/>
        <w:t>├── docs/</w:t>
        <w:br/>
        <w:t>├── requirements.txt</w:t>
        <w:br/>
        <w:t>└── README.md</w:t>
      </w:r>
    </w:p>
    <w:p>
      <w:pPr>
        <w:pStyle w:val="Heading1"/>
      </w:pPr>
      <w:r>
        <w:t>15. Development roadmap</w:t>
      </w:r>
    </w:p>
    <w:p>
      <w:pPr>
        <w:pStyle w:val="ListNumber"/>
      </w:pPr>
      <w:r>
        <w:rPr>
          <w:b/>
        </w:rPr>
        <w:t xml:space="preserve">Phase 1 – Benchmark: </w:t>
      </w:r>
      <w:r>
        <w:t>Run the supplied paper-derived dataset through classical and QML models.</w:t>
      </w:r>
    </w:p>
    <w:p>
      <w:pPr>
        <w:pStyle w:val="ListNumber"/>
      </w:pPr>
      <w:r>
        <w:rPr>
          <w:b/>
        </w:rPr>
        <w:t xml:space="preserve">Phase 2 – Chemical intelligence: </w:t>
      </w:r>
      <w:r>
        <w:t>Add canonical structures, RDKit descriptors and full compound metadata.</w:t>
      </w:r>
    </w:p>
    <w:p>
      <w:pPr>
        <w:pStyle w:val="ListNumber"/>
      </w:pPr>
      <w:r>
        <w:rPr>
          <w:b/>
        </w:rPr>
        <w:t xml:space="preserve">Phase 3 – Target intelligence: </w:t>
      </w:r>
      <w:r>
        <w:t>Automate target retrieval, binding-site prediction and docking.</w:t>
      </w:r>
    </w:p>
    <w:p>
      <w:pPr>
        <w:pStyle w:val="ListNumber"/>
      </w:pPr>
      <w:r>
        <w:rPr>
          <w:b/>
        </w:rPr>
        <w:t xml:space="preserve">Phase 4 – Experimental learning: </w:t>
      </w:r>
      <w:r>
        <w:t>Replace aggregate means with raw replicate-level bioassays and measured AChE inhibition.</w:t>
      </w:r>
    </w:p>
    <w:p>
      <w:pPr>
        <w:pStyle w:val="ListNumber"/>
      </w:pPr>
      <w:r>
        <w:rPr>
          <w:b/>
        </w:rPr>
        <w:t xml:space="preserve">Phase 5 – Advanced QML: </w:t>
      </w:r>
      <w:r>
        <w:t>Evaluate QNN/QGNN, quantum metric learning and quantum Bayesian optimization.</w:t>
      </w:r>
    </w:p>
    <w:p>
      <w:pPr>
        <w:pStyle w:val="ListNumber"/>
      </w:pPr>
      <w:r>
        <w:rPr>
          <w:b/>
        </w:rPr>
        <w:t xml:space="preserve">Phase 6 – Safety/resistance: </w:t>
      </w:r>
      <w:r>
        <w:t>Add non-target prediction, ecological endpoints and mutation-resistance modelling.</w:t>
      </w:r>
    </w:p>
    <w:p>
      <w:pPr>
        <w:pStyle w:val="ListNumber"/>
      </w:pPr>
      <w:r>
        <w:rPr>
          <w:b/>
        </w:rPr>
        <w:t xml:space="preserve">Phase 7 – AgroX decision engine: </w:t>
      </w:r>
      <w:r>
        <w:t>Combine evidence into an auditable multi-objective candidate score.</w:t>
      </w:r>
    </w:p>
    <w:p>
      <w:pPr>
        <w:pStyle w:val="Heading1"/>
      </w:pPr>
      <w:r>
        <w:t>16. Reference-case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R. decoloratus AChE</w:t>
            </w:r>
          </w:p>
        </w:tc>
        <w:tc>
          <w:tcPr>
            <w:tcW w:type="dxa" w:w="2880"/>
          </w:tcPr>
          <w:p>
            <w:r>
              <w:t>R. microplus AChE</w:t>
            </w:r>
          </w:p>
        </w:tc>
      </w:tr>
      <w:tr>
        <w:tc>
          <w:tcPr>
            <w:tcW w:type="dxa" w:w="2880"/>
          </w:tcPr>
          <w:p>
            <w:r>
              <w:t>Accession</w:t>
            </w:r>
          </w:p>
        </w:tc>
        <w:tc>
          <w:tcPr>
            <w:tcW w:type="dxa" w:w="2880"/>
          </w:tcPr>
          <w:p>
            <w:r>
              <w:t>CAA06980</w:t>
            </w:r>
          </w:p>
        </w:tc>
        <w:tc>
          <w:tcPr>
            <w:tcW w:type="dxa" w:w="2880"/>
          </w:tcPr>
          <w:p>
            <w:r>
              <w:t>CAA11702</w:t>
            </w:r>
          </w:p>
        </w:tc>
      </w:tr>
      <w:tr>
        <w:tc>
          <w:tcPr>
            <w:tcW w:type="dxa" w:w="2880"/>
          </w:tcPr>
          <w:p>
            <w:r>
              <w:t>Template</w:t>
            </w:r>
          </w:p>
        </w:tc>
        <w:tc>
          <w:tcPr>
            <w:tcW w:type="dxa" w:w="2880"/>
          </w:tcPr>
          <w:p>
            <w:r>
              <w:t>5YDH, Chain A</w:t>
            </w:r>
          </w:p>
        </w:tc>
        <w:tc>
          <w:tcPr>
            <w:tcW w:type="dxa" w:w="2880"/>
          </w:tcPr>
          <w:p>
            <w:r>
              <w:t>6ARX, Chain A</w:t>
            </w:r>
          </w:p>
        </w:tc>
      </w:tr>
      <w:tr>
        <w:tc>
          <w:tcPr>
            <w:tcW w:type="dxa" w:w="2880"/>
          </w:tcPr>
          <w:p>
            <w:r>
              <w:t>Docking center</w:t>
            </w:r>
          </w:p>
        </w:tc>
        <w:tc>
          <w:tcPr>
            <w:tcW w:type="dxa" w:w="2880"/>
          </w:tcPr>
          <w:p>
            <w:r>
              <w:t>56.1947, -51.4858, 9.4480</w:t>
            </w:r>
          </w:p>
        </w:tc>
        <w:tc>
          <w:tcPr>
            <w:tcW w:type="dxa" w:w="2880"/>
          </w:tcPr>
          <w:p>
            <w:r>
              <w:t>-62.2842, 57.6277, 13.2699</w:t>
            </w:r>
          </w:p>
        </w:tc>
      </w:tr>
      <w:tr>
        <w:tc>
          <w:tcPr>
            <w:tcW w:type="dxa" w:w="2880"/>
          </w:tcPr>
          <w:p>
            <w:r>
              <w:t>Docking box size (Å)</w:t>
            </w:r>
          </w:p>
        </w:tc>
        <w:tc>
          <w:tcPr>
            <w:tcW w:type="dxa" w:w="2880"/>
          </w:tcPr>
          <w:p>
            <w:r>
              <w:t>41.6521 × 32.5402 × 39.7683</w:t>
            </w:r>
          </w:p>
        </w:tc>
        <w:tc>
          <w:tcPr>
            <w:tcW w:type="dxa" w:w="2880"/>
          </w:tcPr>
          <w:p>
            <w:r>
              <w:t>35.3615 × 37.3287 × 38.8187</w:t>
            </w:r>
          </w:p>
        </w:tc>
      </w:tr>
      <w:tr>
        <w:tc>
          <w:tcPr>
            <w:tcW w:type="dxa" w:w="2880"/>
          </w:tcPr>
          <w:p>
            <w:r>
              <w:t>Vina exhaustiveness</w:t>
            </w:r>
          </w:p>
        </w:tc>
        <w:tc>
          <w:tcPr>
            <w:tcW w:type="dxa" w:w="2880"/>
          </w:tcPr>
          <w:p>
            <w:r>
              <w:t>8</w:t>
            </w:r>
          </w:p>
        </w:tc>
        <w:tc>
          <w:tcPr>
            <w:tcW w:type="dxa" w:w="2880"/>
          </w:tcPr>
          <w:p>
            <w:r>
              <w:t>8</w:t>
            </w:r>
          </w:p>
        </w:tc>
      </w:tr>
      <w:tr>
        <w:tc>
          <w:tcPr>
            <w:tcW w:type="dxa" w:w="2880"/>
          </w:tcPr>
          <w:p>
            <w:r>
              <w:t>Modes</w:t>
            </w:r>
          </w:p>
        </w:tc>
        <w:tc>
          <w:tcPr>
            <w:tcW w:type="dxa" w:w="2880"/>
          </w:tcPr>
          <w:p>
            <w:r>
              <w:t>9</w:t>
            </w:r>
          </w:p>
        </w:tc>
        <w:tc>
          <w:tcPr>
            <w:tcW w:type="dxa" w:w="2880"/>
          </w:tcPr>
          <w:p>
            <w:r>
              <w:t>9</w:t>
            </w:r>
          </w:p>
        </w:tc>
      </w:tr>
    </w:tbl>
    <w:p>
      <w:pPr>
        <w:pStyle w:val="Heading1"/>
      </w:pPr>
      <w:r>
        <w:t>17. Final positioning</w:t>
      </w:r>
    </w:p>
    <w:p>
      <w:r>
        <w:t>Quantum_AgroX should be positioned as an evidence-integrating agrochemical intelligence platform, with QML as one computational layer rather than as a claim of quantum advantage. Its differentiator is the integration of natural-product chemistry, target biology, molecular simulation, bioassay learning, resistance analysis and environmental selectivity into one auditable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