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pPr>
        <w:spacing w:after="12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B3A5C"/>
          <w:sz w:val="56"/>
          <w:szCs w:val="56"/>
        </w:rPr>
        <w:t xml:space="preserve">AgroReport</w:t>
      </w:r>
    </w:p>
    <w:p>
      <w:pPr>
        <w:pBdr>
          <w:bottom w:val="single" w:color="9E1B34" w:sz="10" w:space="8"/>
        </w:pBdr>
        <w:spacing w:after="260"/>
        <w:jc w:val="center"/>
      </w:pPr>
      <w:r>
        <w:rPr>
          <w:b/>
          <w:bCs/>
          <w:color w:val="9E1B34"/>
          <w:sz w:val="24"/>
          <w:szCs w:val="24"/>
        </w:rPr>
        <w:t xml:space="preserve">from Quantum_AgroX</w:t>
      </w:r>
    </w:p>
    <w:p>
      <w:pPr>
        <w:pStyle w:val="Heading1"/>
        <w:spacing w:after="60" w:before="380"/>
      </w:pPr>
      <w:r>
        <w:rPr>
          <w:b/>
          <w:bCs/>
          <w:color w:val="1B3A5C"/>
          <w:sz w:val="27"/>
          <w:szCs w:val="27"/>
        </w:rPr>
        <w:t xml:space="preserve">AgroPhytoX</w:t>
      </w:r>
      <w:r>
        <w:rPr>
          <w:i/>
          <w:iCs/>
          <w:color w:val="5B6570"/>
          <w:sz w:val="19"/>
          <w:szCs w:val="19"/>
        </w:rPr>
        <w:t xml:space="preserve">   Phytochemical library</w:t>
      </w:r>
    </w:p>
    <w:p>
      <w:pPr>
        <w:spacing w:after="140"/>
      </w:pPr>
      <w:r>
        <w:rPr>
          <w:b/>
          <w:bCs/>
          <w:color w:val="9E1B34"/>
          <w:sz w:val="17"/>
          <w:szCs w:val="17"/>
        </w:rPr>
        <w:t xml:space="preserve">NOT IMPLEMENTED  ·  </w:t>
      </w:r>
      <w:r>
        <w:rPr>
          <w:color w:val="2A2A2A"/>
          <w:sz w:val="19"/>
          <w:szCs w:val="19"/>
        </w:rPr>
        <w:t xml:space="preserve">Raw compound data present; no descriptor-generation (RDKit) code in src/.</w:t>
      </w:r>
    </w:p>
    <w:tbl>
      <w:tblPr>
        <w:tblW w:type="dxa" w:w="10080"/>
        <w:tblBorders>
          <w:top w:val="single" w:color="AEB8B1" w:sz="4"/>
          <w:left w:val="single" w:color="AEB8B1" w:sz="4"/>
          <w:bottom w:val="single" w:color="AEB8B1" w:sz="4"/>
          <w:right w:val="single" w:color="AEB8B1" w:sz="4"/>
          <w:insideH w:val="single" w:color="D6DCD8" w:sz="2"/>
          <w:insideV w:val="single" w:color="D6DCD8" w:sz="2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48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Compounds catalogued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 (01_major_phytochemicals_reported.csv)</w:t>
            </w:r>
          </w:p>
        </w:tc>
      </w:tr>
      <w:tr>
        <w:tc>
          <w:tcPr>
            <w:tcW w:type="dxa" w:w="360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Plant parts</w:t>
            </w:r>
          </w:p>
        </w:tc>
        <w:tc>
          <w:tcPr>
            <w:tcW w:type="dxa" w:w="648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Exudate: 22  ·  Stem bark: 18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Extraction solvents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DCM: 21  ·  MeOH: 19</w:t>
            </w:r>
          </w:p>
        </w:tc>
      </w:tr>
      <w:tr>
        <w:tc>
          <w:tcPr>
            <w:tcW w:type="dxa" w:w="360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Compound classes</w:t>
            </w:r>
          </w:p>
        </w:tc>
        <w:tc>
          <w:tcPr>
            <w:tcW w:type="dxa" w:w="648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 distinct (Sesquiterpenoid ×9, Sesquiterpene ×7, Steroid ×5, Diterpenoid ×4, Sterol ×4, Monoterpenoid ×2, 9 others ×1 each)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Relative abundance range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2.51% – 10.14% (GC-MS peak area)</w:t>
            </w:r>
          </w:p>
        </w:tc>
      </w:tr>
    </w:tbl>
    <w:p>
      <w:pPr>
        <w:spacing w:after="200"/>
      </w:pPr>
    </w:p>
    <w:p>
      <w:pPr>
        <w:pStyle w:val="Heading1"/>
        <w:spacing w:after="60" w:before="380"/>
      </w:pPr>
      <w:r>
        <w:rPr>
          <w:b/>
          <w:bCs/>
          <w:color w:val="1B3A5C"/>
          <w:sz w:val="27"/>
          <w:szCs w:val="27"/>
        </w:rPr>
        <w:t xml:space="preserve">AgroSyntheticX</w:t>
      </w:r>
      <w:r>
        <w:rPr>
          <w:i/>
          <w:iCs/>
          <w:color w:val="5B6570"/>
          <w:sz w:val="19"/>
          <w:szCs w:val="19"/>
        </w:rPr>
        <w:t xml:space="preserve">   Not defined in project architecture</w:t>
      </w:r>
    </w:p>
    <w:p>
      <w:pPr>
        <w:spacing w:after="140"/>
      </w:pPr>
      <w:r>
        <w:rPr>
          <w:b/>
          <w:bCs/>
          <w:color w:val="9E1B34"/>
          <w:sz w:val="17"/>
          <w:szCs w:val="17"/>
        </w:rPr>
        <w:t xml:space="preserve">NOT IMPLEMENTED  ·  </w:t>
      </w:r>
      <w:r>
        <w:rPr>
          <w:color w:val="2A2A2A"/>
          <w:sz w:val="19"/>
          <w:szCs w:val="19"/>
        </w:rPr>
        <w:t xml:space="preserve">This module name does not appear in the 14-module architecture document (which lists AgroDataHub™ in this slot) and has no corresponding code, data file, or parameters in the repository.</w:t>
      </w:r>
    </w:p>
    <w:tbl>
      <w:tblPr>
        <w:tblW w:type="dxa" w:w="10080"/>
        <w:tblBorders>
          <w:top w:val="single" w:color="AEB8B1" w:sz="4"/>
          <w:left w:val="single" w:color="AEB8B1" w:sz="4"/>
          <w:bottom w:val="single" w:color="AEB8B1" w:sz="4"/>
          <w:right w:val="single" w:color="AEB8B1" w:sz="4"/>
          <w:insideH w:val="single" w:color="D6DCD8" w:sz="2"/>
          <w:insideV w:val="single" w:color="D6DCD8" w:sz="2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48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Parameters computed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</w:tr>
    </w:tbl>
    <w:p>
      <w:pPr>
        <w:spacing w:after="200"/>
      </w:pPr>
    </w:p>
    <w:p>
      <w:pPr>
        <w:pStyle w:val="Heading1"/>
        <w:spacing w:after="60" w:before="380"/>
      </w:pPr>
      <w:r>
        <w:rPr>
          <w:b/>
          <w:bCs/>
          <w:color w:val="1B3A5C"/>
          <w:sz w:val="27"/>
          <w:szCs w:val="27"/>
        </w:rPr>
        <w:t xml:space="preserve">AgroTargetX</w:t>
      </w:r>
      <w:r>
        <w:rPr>
          <w:i/>
          <w:iCs/>
          <w:color w:val="5B6570"/>
          <w:sz w:val="19"/>
          <w:szCs w:val="19"/>
        </w:rPr>
        <w:t xml:space="preserve">   Target discovery — AChE homology models</w:t>
      </w:r>
    </w:p>
    <w:p>
      <w:pPr>
        <w:spacing w:after="140"/>
      </w:pPr>
      <w:r>
        <w:rPr>
          <w:b/>
          <w:bCs/>
          <w:color w:val="9E1B34"/>
          <w:sz w:val="17"/>
          <w:szCs w:val="17"/>
        </w:rPr>
        <w:t xml:space="preserve">NOT IMPLEMENTED  ·  </w:t>
      </w:r>
      <w:r>
        <w:rPr>
          <w:color w:val="2A2A2A"/>
          <w:sz w:val="19"/>
          <w:szCs w:val="19"/>
        </w:rPr>
        <w:t xml:space="preserve">Paper-reported target/model data present; no target-retrieval or homology-modelling code in src/.</w:t>
      </w:r>
    </w:p>
    <w:tbl>
      <w:tblPr>
        <w:tblW w:type="dxa" w:w="10080"/>
        <w:tblBorders>
          <w:top w:val="single" w:color="AEB8B1" w:sz="4"/>
          <w:left w:val="single" w:color="AEB8B1" w:sz="4"/>
          <w:bottom w:val="single" w:color="AEB8B1" w:sz="4"/>
          <w:right w:val="single" w:color="AEB8B1" w:sz="4"/>
          <w:insideH w:val="single" w:color="D6DCD8" w:sz="2"/>
          <w:insideV w:val="single" w:color="D6DCD8" w:sz="2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48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Targets modelled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— AChE for R. decoloratus and R. microplus</w:t>
            </w:r>
          </w:p>
        </w:tc>
      </w:tr>
      <w:tr>
        <w:tc>
          <w:tcPr>
            <w:tcW w:type="dxa" w:w="360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NCBI accessions</w:t>
            </w:r>
          </w:p>
        </w:tc>
        <w:tc>
          <w:tcPr>
            <w:tcW w:type="dxa" w:w="648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CAA06980 (R. decoloratus)  ·  CAA11702 (R. microplus)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Homology templates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PDB 5YDH — 49.25% identity, 89% coverage, E=3e-170  ·  PDB 6ARX — 49.06% identity, 88% coverage, E=1e-167</w:t>
            </w:r>
          </w:p>
        </w:tc>
      </w:tr>
      <w:tr>
        <w:tc>
          <w:tcPr>
            <w:tcW w:type="dxa" w:w="360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Model-quality: Verify3D</w:t>
            </w:r>
          </w:p>
        </w:tc>
        <w:tc>
          <w:tcPr>
            <w:tcW w:type="dxa" w:w="648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82.02% – 94.21% (4 models: MODELLER ×2, SWISS-MODEL ×2)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Model-quality: ERRAT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73.04 – 92.69</w:t>
            </w:r>
          </w:p>
        </w:tc>
      </w:tr>
      <w:tr>
        <w:tc>
          <w:tcPr>
            <w:tcW w:type="dxa" w:w="360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Model-quality: ProSA Z-score</w:t>
            </w:r>
          </w:p>
        </w:tc>
        <w:tc>
          <w:tcPr>
            <w:tcW w:type="dxa" w:w="648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−9.79 to −5.98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Ramachandran favoured region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86.9% – 93.2%</w:t>
            </w:r>
          </w:p>
        </w:tc>
      </w:tr>
    </w:tbl>
    <w:p>
      <w:pPr>
        <w:spacing w:after="200"/>
      </w:pPr>
    </w:p>
    <w:p>
      <w:pPr>
        <w:pStyle w:val="Heading1"/>
        <w:spacing w:after="60" w:before="380"/>
      </w:pPr>
      <w:r>
        <w:rPr>
          <w:b/>
          <w:bCs/>
          <w:color w:val="1B3A5C"/>
          <w:sz w:val="27"/>
          <w:szCs w:val="27"/>
        </w:rPr>
        <w:t xml:space="preserve">AgroSiteMap</w:t>
      </w:r>
      <w:r>
        <w:rPr>
          <w:i/>
          <w:iCs/>
          <w:color w:val="5B6570"/>
          <w:sz w:val="19"/>
          <w:szCs w:val="19"/>
        </w:rPr>
        <w:t xml:space="preserve">   Binding-site / pocket definition</w:t>
      </w:r>
    </w:p>
    <w:p>
      <w:pPr>
        <w:spacing w:after="140"/>
      </w:pPr>
      <w:r>
        <w:rPr>
          <w:b/>
          <w:bCs/>
          <w:color w:val="9E1B34"/>
          <w:sz w:val="17"/>
          <w:szCs w:val="17"/>
        </w:rPr>
        <w:t xml:space="preserve">NOT IMPLEMENTED  ·  </w:t>
      </w:r>
      <w:r>
        <w:rPr>
          <w:color w:val="2A2A2A"/>
          <w:sz w:val="19"/>
          <w:szCs w:val="19"/>
        </w:rPr>
        <w:t xml:space="preserve">Docking-box coordinates present as paper-reported metadata; no pocket-detection algorithm implemented.</w:t>
      </w:r>
    </w:p>
    <w:tbl>
      <w:tblPr>
        <w:tblW w:type="dxa" w:w="10080"/>
        <w:tblBorders>
          <w:top w:val="single" w:color="AEB8B1" w:sz="4"/>
          <w:left w:val="single" w:color="AEB8B1" w:sz="4"/>
          <w:bottom w:val="single" w:color="AEB8B1" w:sz="4"/>
          <w:right w:val="single" w:color="AEB8B1" w:sz="4"/>
          <w:insideH w:val="single" w:color="D6DCD8" w:sz="2"/>
          <w:insideV w:val="single" w:color="D6DCD8" w:sz="2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48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Docking sites defined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(one per target)</w:t>
            </w:r>
          </w:p>
        </w:tc>
      </w:tr>
      <w:tr>
        <w:tc>
          <w:tcPr>
            <w:tcW w:type="dxa" w:w="360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R. decoloratus box</w:t>
            </w:r>
          </w:p>
        </w:tc>
        <w:tc>
          <w:tcPr>
            <w:tcW w:type="dxa" w:w="648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center (56.19, −51.49, 9.45) Å  ·  size 41.65 × 32.54 × 39.77 Å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R. microplus box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center (−62.28, 57.63, 13.27) Å  ·  size 35.36 × 37.33 × 38.82 Å</w:t>
            </w:r>
          </w:p>
        </w:tc>
      </w:tr>
    </w:tbl>
    <w:p>
      <w:pPr>
        <w:spacing w:after="200"/>
      </w:pPr>
    </w:p>
    <w:p>
      <w:pPr>
        <w:pStyle w:val="Heading1"/>
        <w:spacing w:after="60" w:before="380"/>
      </w:pPr>
      <w:r>
        <w:rPr>
          <w:b/>
          <w:bCs/>
          <w:color w:val="1B3A5C"/>
          <w:sz w:val="27"/>
          <w:szCs w:val="27"/>
        </w:rPr>
        <w:t xml:space="preserve">AgroDockX</w:t>
      </w:r>
      <w:r>
        <w:rPr>
          <w:i/>
          <w:iCs/>
          <w:color w:val="5B6570"/>
          <w:sz w:val="19"/>
          <w:szCs w:val="19"/>
        </w:rPr>
        <w:t xml:space="preserve">   Docking &amp; affinity ranking</w:t>
      </w:r>
    </w:p>
    <w:p>
      <w:pPr>
        <w:spacing w:after="140"/>
      </w:pPr>
      <w:r>
        <w:rPr>
          <w:b/>
          <w:bCs/>
          <w:color w:val="9E1B34"/>
          <w:sz w:val="17"/>
          <w:szCs w:val="17"/>
        </w:rPr>
        <w:t xml:space="preserve">NOT IMPLEMENTED  ·  </w:t>
      </w:r>
      <w:r>
        <w:rPr>
          <w:color w:val="2A2A2A"/>
          <w:sz w:val="19"/>
          <w:szCs w:val="19"/>
        </w:rPr>
        <w:t xml:space="preserve">Docking results present as paper-reported data; AutoDock Vina / docking execution is not run by this codebase.</w:t>
      </w:r>
    </w:p>
    <w:tbl>
      <w:tblPr>
        <w:tblW w:type="dxa" w:w="10080"/>
        <w:tblBorders>
          <w:top w:val="single" w:color="AEB8B1" w:sz="4"/>
          <w:left w:val="single" w:color="AEB8B1" w:sz="4"/>
          <w:bottom w:val="single" w:color="AEB8B1" w:sz="4"/>
          <w:right w:val="single" w:color="AEB8B1" w:sz="4"/>
          <w:insideH w:val="single" w:color="D6DCD8" w:sz="2"/>
          <w:insideV w:val="single" w:color="D6DCD8" w:sz="2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48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Candidate compounds docked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 (5 per species)</w:t>
            </w:r>
          </w:p>
        </w:tc>
      </w:tr>
      <w:tr>
        <w:tc>
          <w:tcPr>
            <w:tcW w:type="dxa" w:w="360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Binding-affinity range</w:t>
            </w:r>
          </w:p>
        </w:tc>
        <w:tc>
          <w:tcPr>
            <w:tcW w:type="dxa" w:w="648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−10.1 to −6.0 kcal/mol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Top candidate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−10.1 kcal/mol (R. microplus)</w:t>
            </w:r>
          </w:p>
        </w:tc>
      </w:tr>
      <w:tr>
        <w:tc>
          <w:tcPr>
            <w:tcW w:type="dxa" w:w="360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Validation complexes</w:t>
            </w:r>
          </w:p>
        </w:tc>
        <w:tc>
          <w:tcPr>
            <w:tcW w:type="dxa" w:w="648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 PDB structures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Validation RMSD range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1.61 – 2.02 Å (5 of 6 pass the &lt;2 Å threshold)</w:t>
            </w:r>
          </w:p>
        </w:tc>
      </w:tr>
      <w:tr>
        <w:tc>
          <w:tcPr>
            <w:tcW w:type="dxa" w:w="360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Calculated vs. experimental ΔG, mean abs. error</w:t>
            </w:r>
          </w:p>
        </w:tc>
        <w:tc>
          <w:tcPr>
            <w:tcW w:type="dxa" w:w="648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2.02 kJ/mol (n=6)</w:t>
            </w:r>
          </w:p>
        </w:tc>
      </w:tr>
    </w:tbl>
    <w:p>
      <w:pPr>
        <w:spacing w:after="200"/>
      </w:pPr>
    </w:p>
    <w:p>
      <w:pPr>
        <w:pStyle w:val="Heading1"/>
        <w:spacing w:after="60" w:before="380"/>
      </w:pPr>
      <w:r>
        <w:rPr>
          <w:b/>
          <w:bCs/>
          <w:color w:val="1B3A5C"/>
          <w:sz w:val="27"/>
          <w:szCs w:val="27"/>
        </w:rPr>
        <w:t xml:space="preserve">AgroDoseX</w:t>
      </w:r>
      <w:r>
        <w:rPr>
          <w:i/>
          <w:iCs/>
          <w:color w:val="5B6570"/>
          <w:sz w:val="19"/>
          <w:szCs w:val="19"/>
        </w:rPr>
        <w:t xml:space="preserve">   Dose-response &amp; LC50/LC90 modelling</w:t>
      </w:r>
    </w:p>
    <w:p>
      <w:pPr>
        <w:spacing w:after="140"/>
      </w:pPr>
      <w:r>
        <w:rPr>
          <w:b/>
          <w:bCs/>
          <w:color w:val="2E7D4F"/>
          <w:sz w:val="17"/>
          <w:szCs w:val="17"/>
        </w:rPr>
        <w:t xml:space="preserve">IMPLEMENTED  ·  </w:t>
      </w:r>
      <w:r>
        <w:rPr>
          <w:color w:val="2A2A2A"/>
          <w:sz w:val="19"/>
          <w:szCs w:val="19"/>
        </w:rPr>
        <w:t xml:space="preserve">Fully implemented — src/01_prepare_dataset.py ingests and normalizes this data into the QML feature matrix.</w:t>
      </w:r>
    </w:p>
    <w:tbl>
      <w:tblPr>
        <w:tblW w:type="dxa" w:w="10080"/>
        <w:tblBorders>
          <w:top w:val="single" w:color="AEB8B1" w:sz="4"/>
          <w:left w:val="single" w:color="AEB8B1" w:sz="4"/>
          <w:bottom w:val="single" w:color="AEB8B1" w:sz="4"/>
          <w:right w:val="single" w:color="AEB8B1" w:sz="4"/>
          <w:insideH w:val="single" w:color="D6DCD8" w:sz="2"/>
          <w:insideV w:val="single" w:color="D6DCD8" w:sz="2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48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LC50 range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2.78 – 22.66 mg/mL (16 species/assay/extract combinations)</w:t>
            </w:r>
          </w:p>
        </w:tc>
      </w:tr>
      <w:tr>
        <w:tc>
          <w:tcPr>
            <w:tcW w:type="dxa" w:w="360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LC90 range</w:t>
            </w:r>
          </w:p>
        </w:tc>
        <w:tc>
          <w:tcPr>
            <w:tcW w:type="dxa" w:w="648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20.21 – 178.70 mg/mL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Mortality bioassay records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240 rows (2 species × 2 stages × 4 extracts × 5 concentrations × 3 exposure times)</w:t>
            </w:r>
          </w:p>
        </w:tc>
      </w:tr>
      <w:tr>
        <w:tc>
          <w:tcPr>
            <w:tcW w:type="dxa" w:w="360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Concentrations tested</w:t>
            </w:r>
          </w:p>
        </w:tc>
        <w:tc>
          <w:tcPr>
            <w:tcW w:type="dxa" w:w="648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5, 10, 20, 40, 80 mg/mL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Exposure times tested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24, 48, 72 h</w:t>
            </w:r>
          </w:p>
        </w:tc>
      </w:tr>
      <w:tr>
        <w:tc>
          <w:tcPr>
            <w:tcW w:type="dxa" w:w="360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Pipeline code</w:t>
            </w:r>
          </w:p>
        </w:tc>
        <w:tc>
          <w:tcPr>
            <w:tcW w:type="dxa" w:w="648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src/01_prepare_dataset.py — 136 lines, 6 functions</w:t>
            </w:r>
          </w:p>
        </w:tc>
      </w:tr>
    </w:tbl>
    <w:p>
      <w:pPr>
        <w:spacing w:after="200"/>
      </w:pPr>
    </w:p>
    <w:p>
      <w:pPr>
        <w:pStyle w:val="Heading1"/>
        <w:spacing w:after="60" w:before="380"/>
      </w:pPr>
      <w:r>
        <w:rPr>
          <w:b/>
          <w:bCs/>
          <w:color w:val="1B3A5C"/>
          <w:sz w:val="27"/>
          <w:szCs w:val="27"/>
        </w:rPr>
        <w:t xml:space="preserve">AgroQML</w:t>
      </w:r>
      <w:r>
        <w:rPr>
          <w:i/>
          <w:iCs/>
          <w:color w:val="5B6570"/>
          <w:sz w:val="19"/>
          <w:szCs w:val="19"/>
        </w:rPr>
        <w:t xml:space="preserve">   Classical + quantum ML models</w:t>
      </w:r>
    </w:p>
    <w:p>
      <w:pPr>
        <w:spacing w:after="140"/>
      </w:pPr>
      <w:r>
        <w:rPr>
          <w:b/>
          <w:bCs/>
          <w:color w:val="2E7D4F"/>
          <w:sz w:val="17"/>
          <w:szCs w:val="17"/>
        </w:rPr>
        <w:t xml:space="preserve">IMPLEMENTED  ·  </w:t>
      </w:r>
      <w:r>
        <w:rPr>
          <w:color w:val="2A2A2A"/>
          <w:sz w:val="19"/>
          <w:szCs w:val="19"/>
        </w:rPr>
        <w:t xml:space="preserve">Fully implemented — the most developed module in the repository.</w:t>
      </w:r>
    </w:p>
    <w:tbl>
      <w:tblPr>
        <w:tblW w:type="dxa" w:w="10080"/>
        <w:tblBorders>
          <w:top w:val="single" w:color="AEB8B1" w:sz="4"/>
          <w:left w:val="single" w:color="AEB8B1" w:sz="4"/>
          <w:bottom w:val="single" w:color="AEB8B1" w:sz="4"/>
          <w:right w:val="single" w:color="AEB8B1" w:sz="4"/>
          <w:insideH w:val="single" w:color="D6DCD8" w:sz="2"/>
          <w:insideV w:val="single" w:color="D6DCD8" w:sz="2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48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Pipeline code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scripts, 784 lines total (02: 188, 03: 187, 04: 178, 05: 231)</w:t>
            </w:r>
          </w:p>
        </w:tc>
      </w:tr>
      <w:tr>
        <w:tc>
          <w:tcPr>
            <w:tcW w:type="dxa" w:w="360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Classical baselines</w:t>
            </w:r>
          </w:p>
        </w:tc>
        <w:tc>
          <w:tcPr>
            <w:tcW w:type="dxa" w:w="648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RandomForest, XGBoost, SVM/SVR — 5-fold CV, regression + classification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Quantum models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Fidelity-kernel + Kernel Ridge Regression; 2× Quantum-kernel SVM (QSVM); Variational Quantum Classifier + regressor</w:t>
            </w:r>
          </w:p>
        </w:tc>
      </w:tr>
      <w:tr>
        <w:tc>
          <w:tcPr>
            <w:tcW w:type="dxa" w:w="360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Quantum circuits</w:t>
            </w:r>
          </w:p>
        </w:tc>
        <w:tc>
          <w:tcPr>
            <w:tcW w:type="dxa" w:w="648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 (4 × @qml.qnode decorator + 1 × qml.QNode constructor), all on PennyLane default.qubit simulator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Qubits / circuit depth / layers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 / 2 / 3 (config/project_config.yaml)</w:t>
            </w:r>
          </w:p>
        </w:tc>
      </w:tr>
      <w:tr>
        <w:tc>
          <w:tcPr>
            <w:tcW w:type="dxa" w:w="360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Shots</w:t>
            </w:r>
          </w:p>
        </w:tc>
        <w:tc>
          <w:tcPr>
            <w:tcW w:type="dxa" w:w="648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1,024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Evaluation metrics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MAE, RMSE, R² (regression)  ·  Accuracy, Balanced Accuracy, F1, ROC-AUC (classification)</w:t>
            </w:r>
          </w:p>
        </w:tc>
      </w:tr>
      <w:tr>
        <w:tc>
          <w:tcPr>
            <w:tcW w:type="dxa" w:w="360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Training set size</w:t>
            </w:r>
          </w:p>
        </w:tc>
        <w:tc>
          <w:tcPr>
            <w:tcW w:type="dxa" w:w="6480"/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240 records → X_mortality.npy (8-feature vectors after truncation)</w:t>
            </w:r>
          </w:p>
        </w:tc>
      </w:tr>
    </w:tbl>
    <w:p>
      <w:pPr>
        <w:spacing w:after="200"/>
      </w:pPr>
    </w:p>
    <w:p>
      <w:pPr>
        <w:pStyle w:val="Heading1"/>
        <w:spacing w:after="60" w:before="380"/>
      </w:pPr>
      <w:r>
        <w:rPr>
          <w:b/>
          <w:bCs/>
          <w:color w:val="1B3A5C"/>
          <w:sz w:val="27"/>
          <w:szCs w:val="27"/>
        </w:rPr>
        <w:t xml:space="preserve">AgroMD</w:t>
      </w:r>
      <w:r>
        <w:rPr>
          <w:i/>
          <w:iCs/>
          <w:color w:val="5B6570"/>
          <w:sz w:val="19"/>
          <w:szCs w:val="19"/>
        </w:rPr>
        <w:t xml:space="preserve">   Molecular dynamics</w:t>
      </w:r>
    </w:p>
    <w:p>
      <w:pPr>
        <w:spacing w:after="140"/>
      </w:pPr>
      <w:r>
        <w:rPr>
          <w:b/>
          <w:bCs/>
          <w:color w:val="9E1B34"/>
          <w:sz w:val="17"/>
          <w:szCs w:val="17"/>
        </w:rPr>
        <w:t xml:space="preserve">NOT IMPLEMENTED  ·  </w:t>
      </w:r>
      <w:r>
        <w:rPr>
          <w:color w:val="2A2A2A"/>
          <w:sz w:val="19"/>
          <w:szCs w:val="19"/>
        </w:rPr>
        <w:t xml:space="preserve">Not implemented — no MD trajectories, RMSF/MM-PBSA code, or GROMACS dependency in the repository.</w:t>
      </w:r>
    </w:p>
    <w:tbl>
      <w:tblPr>
        <w:tblW w:type="dxa" w:w="10080"/>
        <w:tblBorders>
          <w:top w:val="single" w:color="AEB8B1" w:sz="4"/>
          <w:left w:val="single" w:color="AEB8B1" w:sz="4"/>
          <w:bottom w:val="single" w:color="AEB8B1" w:sz="4"/>
          <w:right w:val="single" w:color="AEB8B1" w:sz="4"/>
          <w:insideH w:val="single" w:color="D6DCD8" w:sz="2"/>
          <w:insideV w:val="single" w:color="D6DCD8" w:sz="2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48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Parameters computed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</w:tr>
    </w:tbl>
    <w:p>
      <w:pPr>
        <w:spacing w:after="200"/>
      </w:pPr>
    </w:p>
    <w:p>
      <w:pPr>
        <w:pStyle w:val="Heading1"/>
        <w:spacing w:after="60" w:before="380"/>
      </w:pPr>
      <w:r>
        <w:rPr>
          <w:b/>
          <w:bCs/>
          <w:color w:val="1B3A5C"/>
          <w:sz w:val="27"/>
          <w:szCs w:val="27"/>
        </w:rPr>
        <w:t xml:space="preserve">AgroResistanceScan</w:t>
      </w:r>
      <w:r>
        <w:rPr>
          <w:i/>
          <w:iCs/>
          <w:color w:val="5B6570"/>
          <w:sz w:val="19"/>
          <w:szCs w:val="19"/>
        </w:rPr>
        <w:t xml:space="preserve">   Mutation → affinity-change modelling</w:t>
      </w:r>
    </w:p>
    <w:p>
      <w:pPr>
        <w:spacing w:after="140"/>
      </w:pPr>
      <w:r>
        <w:rPr>
          <w:b/>
          <w:bCs/>
          <w:color w:val="9E1B34"/>
          <w:sz w:val="17"/>
          <w:szCs w:val="17"/>
        </w:rPr>
        <w:t xml:space="preserve">NOT IMPLEMENTED  ·  </w:t>
      </w:r>
      <w:r>
        <w:rPr>
          <w:color w:val="2A2A2A"/>
          <w:sz w:val="19"/>
          <w:szCs w:val="19"/>
        </w:rPr>
        <w:t xml:space="preserve">Not implemented — no mutation, variant, or resistance-phenotype data or code in the repository.</w:t>
      </w:r>
    </w:p>
    <w:tbl>
      <w:tblPr>
        <w:tblW w:type="dxa" w:w="10080"/>
        <w:tblBorders>
          <w:top w:val="single" w:color="AEB8B1" w:sz="4"/>
          <w:left w:val="single" w:color="AEB8B1" w:sz="4"/>
          <w:bottom w:val="single" w:color="AEB8B1" w:sz="4"/>
          <w:right w:val="single" w:color="AEB8B1" w:sz="4"/>
          <w:insideH w:val="single" w:color="D6DCD8" w:sz="2"/>
          <w:insideV w:val="single" w:color="D6DCD8" w:sz="2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48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Parameters computed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</w:tr>
    </w:tbl>
    <w:p>
      <w:pPr>
        <w:spacing w:after="200"/>
      </w:pPr>
    </w:p>
    <w:p>
      <w:pPr>
        <w:pStyle w:val="Heading1"/>
        <w:spacing w:after="60" w:before="380"/>
      </w:pPr>
      <w:r>
        <w:rPr>
          <w:b/>
          <w:bCs/>
          <w:color w:val="1B3A5C"/>
          <w:sz w:val="27"/>
          <w:szCs w:val="27"/>
        </w:rPr>
        <w:t xml:space="preserve">AgroSelect</w:t>
      </w:r>
      <w:r>
        <w:rPr>
          <w:i/>
          <w:iCs/>
          <w:color w:val="5B6570"/>
          <w:sz w:val="19"/>
          <w:szCs w:val="19"/>
        </w:rPr>
        <w:t xml:space="preserve">   Pest/pathogen vs. crop selectivity scoring</w:t>
      </w:r>
    </w:p>
    <w:p>
      <w:pPr>
        <w:spacing w:after="140"/>
      </w:pPr>
      <w:r>
        <w:rPr>
          <w:b/>
          <w:bCs/>
          <w:color w:val="9E1B34"/>
          <w:sz w:val="17"/>
          <w:szCs w:val="17"/>
        </w:rPr>
        <w:t xml:space="preserve">NOT IMPLEMENTED  ·  </w:t>
      </w:r>
      <w:r>
        <w:rPr>
          <w:color w:val="2A2A2A"/>
          <w:sz w:val="19"/>
          <w:szCs w:val="19"/>
        </w:rPr>
        <w:t xml:space="preserve">Not implemented — no selectivity/non-target scoring code or data in the repository.</w:t>
      </w:r>
    </w:p>
    <w:tbl>
      <w:tblPr>
        <w:tblW w:type="dxa" w:w="10080"/>
        <w:tblBorders>
          <w:top w:val="single" w:color="AEB8B1" w:sz="4"/>
          <w:left w:val="single" w:color="AEB8B1" w:sz="4"/>
          <w:bottom w:val="single" w:color="AEB8B1" w:sz="4"/>
          <w:right w:val="single" w:color="AEB8B1" w:sz="4"/>
          <w:insideH w:val="single" w:color="D6DCD8" w:sz="2"/>
          <w:insideV w:val="single" w:color="D6DCD8" w:sz="2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48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Parameters computed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</w:tr>
    </w:tbl>
    <w:p>
      <w:pPr>
        <w:spacing w:after="200"/>
      </w:pPr>
    </w:p>
    <w:p>
      <w:pPr>
        <w:pStyle w:val="Heading1"/>
        <w:spacing w:after="60" w:before="380"/>
      </w:pPr>
      <w:r>
        <w:rPr>
          <w:b/>
          <w:bCs/>
          <w:color w:val="1B3A5C"/>
          <w:sz w:val="27"/>
          <w:szCs w:val="27"/>
        </w:rPr>
        <w:t xml:space="preserve">AgroEcoRisk</w:t>
      </w:r>
      <w:r>
        <w:rPr>
          <w:i/>
          <w:iCs/>
          <w:color w:val="5B6570"/>
          <w:sz w:val="19"/>
          <w:szCs w:val="19"/>
        </w:rPr>
        <w:t xml:space="preserve">   Environmental / non-target risk</w:t>
      </w:r>
    </w:p>
    <w:p>
      <w:pPr>
        <w:spacing w:after="140"/>
      </w:pPr>
      <w:r>
        <w:rPr>
          <w:b/>
          <w:bCs/>
          <w:color w:val="9E1B34"/>
          <w:sz w:val="17"/>
          <w:szCs w:val="17"/>
        </w:rPr>
        <w:t xml:space="preserve">NOT IMPLEMENTED  ·  </w:t>
      </w:r>
      <w:r>
        <w:rPr>
          <w:color w:val="2A2A2A"/>
          <w:sz w:val="19"/>
          <w:szCs w:val="19"/>
        </w:rPr>
        <w:t xml:space="preserve">Not implemented — no ecotoxicology data or risk-scoring code in the repository.</w:t>
      </w:r>
    </w:p>
    <w:tbl>
      <w:tblPr>
        <w:tblW w:type="dxa" w:w="10080"/>
        <w:tblBorders>
          <w:top w:val="single" w:color="AEB8B1" w:sz="4"/>
          <w:left w:val="single" w:color="AEB8B1" w:sz="4"/>
          <w:bottom w:val="single" w:color="AEB8B1" w:sz="4"/>
          <w:right w:val="single" w:color="AEB8B1" w:sz="4"/>
          <w:insideH w:val="single" w:color="D6DCD8" w:sz="2"/>
          <w:insideV w:val="single" w:color="D6DCD8" w:sz="2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48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Parameters computed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</w:tr>
    </w:tbl>
    <w:p>
      <w:pPr>
        <w:spacing w:after="200"/>
      </w:pPr>
    </w:p>
    <w:p>
      <w:pPr>
        <w:pStyle w:val="Heading1"/>
        <w:spacing w:after="60" w:before="380"/>
      </w:pPr>
      <w:r>
        <w:rPr>
          <w:b/>
          <w:bCs/>
          <w:color w:val="1B3A5C"/>
          <w:sz w:val="27"/>
          <w:szCs w:val="27"/>
        </w:rPr>
        <w:t xml:space="preserve">AgroSynergyX</w:t>
      </w:r>
      <w:r>
        <w:rPr>
          <w:i/>
          <w:iCs/>
          <w:color w:val="5B6570"/>
          <w:sz w:val="19"/>
          <w:szCs w:val="19"/>
        </w:rPr>
        <w:t xml:space="preserve">   Combination / synergy analysis</w:t>
      </w:r>
    </w:p>
    <w:p>
      <w:pPr>
        <w:spacing w:after="140"/>
      </w:pPr>
      <w:r>
        <w:rPr>
          <w:b/>
          <w:bCs/>
          <w:color w:val="9E1B34"/>
          <w:sz w:val="17"/>
          <w:szCs w:val="17"/>
        </w:rPr>
        <w:t xml:space="preserve">NOT IMPLEMENTED  ·  </w:t>
      </w:r>
      <w:r>
        <w:rPr>
          <w:color w:val="2A2A2A"/>
          <w:sz w:val="19"/>
          <w:szCs w:val="19"/>
        </w:rPr>
        <w:t xml:space="preserve">Not implemented — no combination-dose or synergy-index code or data in the repository.</w:t>
      </w:r>
    </w:p>
    <w:tbl>
      <w:tblPr>
        <w:tblW w:type="dxa" w:w="10080"/>
        <w:tblBorders>
          <w:top w:val="single" w:color="AEB8B1" w:sz="4"/>
          <w:left w:val="single" w:color="AEB8B1" w:sz="4"/>
          <w:bottom w:val="single" w:color="AEB8B1" w:sz="4"/>
          <w:right w:val="single" w:color="AEB8B1" w:sz="4"/>
          <w:insideH w:val="single" w:color="D6DCD8" w:sz="2"/>
          <w:insideV w:val="single" w:color="D6DCD8" w:sz="2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48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Parameters computed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</w:tr>
    </w:tbl>
    <w:p>
      <w:pPr>
        <w:spacing w:after="200"/>
      </w:pPr>
    </w:p>
    <w:p>
      <w:pPr>
        <w:pStyle w:val="Heading1"/>
        <w:spacing w:after="60" w:before="380"/>
      </w:pPr>
      <w:r>
        <w:rPr>
          <w:b/>
          <w:bCs/>
          <w:color w:val="1B3A5C"/>
          <w:sz w:val="27"/>
          <w:szCs w:val="27"/>
        </w:rPr>
        <w:t xml:space="preserve">AgroOptimize</w:t>
      </w:r>
      <w:r>
        <w:rPr>
          <w:i/>
          <w:iCs/>
          <w:color w:val="5B6570"/>
          <w:sz w:val="19"/>
          <w:szCs w:val="19"/>
        </w:rPr>
        <w:t xml:space="preserve">   Multi-objective candidate/dose optimization</w:t>
      </w:r>
    </w:p>
    <w:p>
      <w:pPr>
        <w:spacing w:after="140"/>
      </w:pPr>
      <w:r>
        <w:rPr>
          <w:b/>
          <w:bCs/>
          <w:color w:val="9E1B34"/>
          <w:sz w:val="17"/>
          <w:szCs w:val="17"/>
        </w:rPr>
        <w:t xml:space="preserve">NOT IMPLEMENTED  ·  </w:t>
      </w:r>
      <w:r>
        <w:rPr>
          <w:color w:val="2A2A2A"/>
          <w:sz w:val="19"/>
          <w:szCs w:val="19"/>
        </w:rPr>
        <w:t xml:space="preserve">Not implemented — no multi-objective optimizer or AgroX decision-score code in the repository.</w:t>
      </w:r>
    </w:p>
    <w:tbl>
      <w:tblPr>
        <w:tblW w:type="dxa" w:w="10080"/>
        <w:tblBorders>
          <w:top w:val="single" w:color="AEB8B1" w:sz="4"/>
          <w:left w:val="single" w:color="AEB8B1" w:sz="4"/>
          <w:bottom w:val="single" w:color="AEB8B1" w:sz="4"/>
          <w:right w:val="single" w:color="AEB8B1" w:sz="4"/>
          <w:insideH w:val="single" w:color="D6DCD8" w:sz="2"/>
          <w:insideV w:val="single" w:color="D6DCD8" w:sz="2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48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Parameters computed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90e6b01a27dcb1b6f58bd70cda492c9f636df4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AgroReport — Quantum_AgroX</dc:title>
  <dc:creator>MEDxAI</dc:creator>
  <dc:description>Module-by-module parameter report for the Quantum_AgroX repository</dc:description>
  <cp:lastModifiedBy>Un-named</cp:lastModifiedBy>
  <cp:revision>1</cp:revision>
  <dcterms:created xsi:type="dcterms:W3CDTF">2026-09-08T17:21:12.189Z</dcterms:created>
  <dcterms:modified xsi:type="dcterms:W3CDTF">2026-09-08T17:21:12.190Z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