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b/>
          <w:color w:val="505050"/>
          <w:sz w:val="24"/>
        </w:rPr>
        <w:t>SNN ECG Classifier</w:t>
        <w:br/>
      </w:r>
      <w:r>
        <w:rPr>
          <w:b/>
          <w:color w:val="1F4E79"/>
          <w:sz w:val="44"/>
        </w:rPr>
        <w:t>SNN 4-Class Neuron WTA</w:t>
      </w:r>
    </w:p>
    <w:p>
      <w:pPr>
        <w:spacing w:after="240"/>
      </w:pPr>
      <w:r>
        <w:rPr>
          <w:color w:val="5A5A5A"/>
          <w:sz w:val="20"/>
        </w:rPr>
        <w:t>Model S의 direct spike membrane WTA와 검증 결과</w:t>
      </w:r>
    </w:p>
    <w:p>
      <w:pPr>
        <w:pStyle w:val="Heading1"/>
      </w:pPr>
      <w:r>
        <w:t>Summary</w:t>
      </w:r>
    </w:p>
    <w:p>
      <w:r>
        <w:rPr>
          <w:b/>
        </w:rPr>
        <w:t xml:space="preserve">자극: </w:t>
      </w:r>
      <w:r>
        <w:t>WTA가 받는 입력은 최종 segment score 네 개, 즉 NSR_mem, CHF_mem, ARR_mem, AFF_mem이다. 이 score들은 feature spike가 누적된 class neuron membrane이다.</w:t>
      </w:r>
    </w:p>
    <w:p>
      <w:r>
        <w:rPr>
          <w:b/>
        </w:rPr>
        <w:t xml:space="preserve">Readout 보정: </w:t>
      </w:r>
      <w:r>
        <w:t>RBBB QRS Delay Bank는 regular rhythm인데 QRS conduction delay가 반복되는 경우 NSR normality를 약화시키고 ARR 쪽 판단을 보조한다. EERG는 episodic ectopic 조건이 맞을 때 ARR score에 +25000을 더한다.</w:t>
      </w:r>
    </w:p>
    <w:p>
      <w:r>
        <w:rPr>
          <w:b/>
        </w:rPr>
        <w:t xml:space="preserve">발화: </w:t>
      </w:r>
      <w:r>
        <w:t>segment_done 시점에서 보정이 끝난 네 class score를 signed comparator로 비교한다. 가장 큰 membrane을 가진 class가 winner가 되고 pred_class로 출력된다.</w:t>
      </w:r>
    </w:p>
    <w:p>
      <w:r>
        <w:rPr>
          <w:b/>
        </w:rPr>
        <w:t xml:space="preserve">의미: </w:t>
      </w:r>
      <w:r>
        <w:t>WTA는 학습형 softmax가 아니라 hardware comparator 기반 winner-take-all이다. Model S의 최종 test 성능은 131/160=81.88%, record 18/19=94.74%이다.</w:t>
      </w:r>
    </w:p>
    <w:p/>
    <w:p>
      <w:pPr>
        <w:pStyle w:val="Heading1"/>
        <w:spacing w:before="160" w:after="80"/>
      </w:pPr>
      <w:r>
        <w:rPr>
          <w:color w:val="1F4E79"/>
          <w:sz w:val="26"/>
        </w:rPr>
        <w:t>1. Model S의 class neuron 입력</w:t>
      </w:r>
    </w:p>
    <w:p>
      <w:pPr>
        <w:spacing w:after="100" w:line="276" w:lineRule="auto"/>
      </w:pPr>
      <w:r>
        <w:t>Model S는 feature count를 직접 class score로 넣는 구조가 아니고, 예전 rate-threshold bank 구조도 아니다. feature spike가 발생하는 순간 60초 local class neuron membrane에 fixed signed weight가 직접 더해진다.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5156"/>
        <w:gridCol w:w="5156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Feature 입력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>
              <w:t>Model S에서의 역할</w:t>
            </w:r>
            <w:r>
              <w:rPr>
                <w:b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pNN125</w:t>
            </w:r>
          </w:p>
        </w:tc>
        <w:tc>
          <w:tcPr>
            <w:tcW w:type="dxa" w:w="5669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6"/>
              </w:rPr>
              <w:t>RR prediction match/mismatch rhythm evidence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RDM</w:t>
            </w:r>
          </w:p>
        </w:tc>
        <w:tc>
          <w:tcPr>
            <w:tcW w:type="dxa" w:w="5669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6"/>
              </w:rPr>
              <w:t>연속 RR interval 변화량 evidence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DSCR</w:t>
            </w:r>
          </w:p>
        </w:tc>
        <w:tc>
          <w:tcPr>
            <w:tcW w:type="dxa" w:w="5669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6"/>
              </w:rPr>
              <w:t>slope sign-change 기반 CHF/NSR morphology evidence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RAM</w:t>
            </w:r>
          </w:p>
        </w:tc>
        <w:tc>
          <w:tcPr>
            <w:tcW w:type="dxa" w:w="5669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6"/>
              </w:rPr>
              <w:t>R peak amplitude code 기반 ARR/AFF 보조 evidence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ECP</w:t>
            </w:r>
          </w:p>
        </w:tc>
        <w:tc>
          <w:tcPr>
            <w:tcW w:type="dxa" w:w="5669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6"/>
              </w:rPr>
              <w:t>ectopic compensatory pair 보조 evidence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QRS MAF</w:t>
            </w:r>
          </w:p>
        </w:tc>
        <w:tc>
          <w:tcPr>
            <w:tcW w:type="dxa" w:w="5669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6"/>
              </w:rPr>
              <w:t>width/complex/energy morphology 보조 evidence</w:t>
            </w:r>
          </w:p>
        </w:tc>
      </w:tr>
    </w:tbl>
    <w:p/>
    <w:p>
      <w:pPr>
        <w:pStyle w:val="Heading1"/>
        <w:spacing w:before="160" w:after="80"/>
      </w:pPr>
      <w:r>
        <w:rPr>
          <w:color w:val="1F4E79"/>
          <w:sz w:val="26"/>
        </w:rPr>
        <w:t>2. WTA 동작</w:t>
      </w:r>
    </w:p>
    <w:p>
      <w:pPr>
        <w:spacing w:after="100" w:line="276" w:lineRule="auto"/>
      </w:pPr>
      <w:r>
        <w:t>60초 window 안에서 local_mem[NSR/CHF/ARR/AFF]가 feature spike에 의해 누적된다. window가 끝나면 local evidence가 segment score에 누적된다. segment_done 시점에서 score_nsr, score_chf, score_arr, score_aff 중 가장 큰 값을 가진 class가 pred_class가 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5156"/>
        <w:gridCol w:w="5156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Class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BIAS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NSR</w:t>
            </w:r>
          </w:p>
        </w:tc>
        <w:tc>
          <w:tcPr>
            <w:tcW w:type="dxa" w:w="226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-5213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CHF</w:t>
            </w:r>
          </w:p>
        </w:tc>
        <w:tc>
          <w:tcPr>
            <w:tcW w:type="dxa" w:w="226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-22414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ARR</w:t>
            </w:r>
          </w:p>
        </w:tc>
        <w:tc>
          <w:tcPr>
            <w:tcW w:type="dxa" w:w="226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-7298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AFF</w:t>
            </w:r>
          </w:p>
        </w:tc>
        <w:tc>
          <w:tcPr>
            <w:tcW w:type="dxa" w:w="226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+32767</w:t>
            </w:r>
          </w:p>
        </w:tc>
      </w:tr>
    </w:tbl>
    <w:p/>
    <w:p>
      <w:pPr>
        <w:pStyle w:val="Heading1"/>
        <w:spacing w:before="160" w:after="80"/>
      </w:pPr>
      <w:r>
        <w:rPr>
          <w:color w:val="1F4E79"/>
          <w:sz w:val="26"/>
        </w:rPr>
        <w:t>3. strict split 검증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3437"/>
        <w:gridCol w:w="3437"/>
        <w:gridCol w:w="3437"/>
      </w:tblGrid>
      <w:tr>
        <w:tc>
          <w:tcPr>
            <w:tcW w:type="dxa" w:w="1701"/>
            <w:vAlign w:val="center"/>
            <w:shd w:fill="D9EAF7"/>
          </w:tcPr>
          <w:p>
            <w:r>
              <w:t>Split</w:t>
            </w:r>
          </w:p>
        </w:tc>
        <w:tc>
          <w:tcPr>
            <w:tcW w:type="dxa" w:w="2948"/>
            <w:vAlign w:val="center"/>
            <w:shd w:fill="D9EAF7"/>
          </w:tcPr>
          <w:p>
            <w:r>
              <w:t>Segment accuracy</w:t>
            </w:r>
          </w:p>
        </w:tc>
        <w:tc>
          <w:tcPr>
            <w:tcW w:type="dxa" w:w="2948"/>
            <w:vAlign w:val="center"/>
            <w:shd w:fill="D9EAF7"/>
          </w:tcPr>
          <w:p>
            <w:r>
              <w:t>Record accuracy</w:t>
            </w:r>
          </w:p>
        </w:tc>
      </w:tr>
      <w:tr>
        <w:tc>
          <w:tcPr>
            <w:tcW w:type="dxa" w:w="1701"/>
            <w:vAlign w:val="center"/>
          </w:tcPr>
          <w:p>
            <w:r>
              <w:t>Train</w:t>
            </w:r>
          </w:p>
        </w:tc>
        <w:tc>
          <w:tcPr>
            <w:tcW w:type="dxa" w:w="2948"/>
            <w:vAlign w:val="center"/>
          </w:tcPr>
          <w:p>
            <w:r>
              <w:t>313/400 = 78.25%</w:t>
            </w:r>
          </w:p>
        </w:tc>
        <w:tc>
          <w:tcPr>
            <w:tcW w:type="dxa" w:w="2948"/>
            <w:vAlign w:val="center"/>
          </w:tcPr>
          <w:p>
            <w:r>
              <w:t>41/50 = 82.00%</w:t>
            </w:r>
          </w:p>
        </w:tc>
      </w:tr>
      <w:tr>
        <w:tc>
          <w:tcPr>
            <w:tcW w:type="dxa" w:w="1701"/>
            <w:vAlign w:val="center"/>
          </w:tcPr>
          <w:p>
            <w:r>
              <w:t>Validation</w:t>
            </w:r>
          </w:p>
        </w:tc>
        <w:tc>
          <w:tcPr>
            <w:tcW w:type="dxa" w:w="2948"/>
            <w:vAlign w:val="center"/>
          </w:tcPr>
          <w:p>
            <w:r>
              <w:t>136/160 = 85.00%</w:t>
            </w:r>
          </w:p>
        </w:tc>
        <w:tc>
          <w:tcPr>
            <w:tcW w:type="dxa" w:w="2948"/>
            <w:vAlign w:val="center"/>
          </w:tcPr>
          <w:p>
            <w:r>
              <w:t>18/20 = 90.00%</w:t>
            </w:r>
          </w:p>
        </w:tc>
      </w:tr>
      <w:tr>
        <w:tc>
          <w:tcPr>
            <w:tcW w:type="dxa" w:w="1701"/>
            <w:vAlign w:val="center"/>
          </w:tcPr>
          <w:p>
            <w:r>
              <w:t>Test</w:t>
            </w:r>
          </w:p>
        </w:tc>
        <w:tc>
          <w:tcPr>
            <w:tcW w:type="dxa" w:w="2948"/>
            <w:vAlign w:val="center"/>
          </w:tcPr>
          <w:p>
            <w:r>
              <w:t>131/160 = 81.88%</w:t>
            </w:r>
          </w:p>
        </w:tc>
        <w:tc>
          <w:tcPr>
            <w:tcW w:type="dxa" w:w="2948"/>
            <w:vAlign w:val="center"/>
          </w:tcPr>
          <w:p>
            <w:r>
              <w:t>18/19 = 94.74%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381"/>
            <w:vAlign w:val="center"/>
            <w:shd w:fill="D9EAF7"/>
          </w:tcPr>
          <w:p>
            <w:r>
              <w:t>Actual / Pred</w:t>
            </w:r>
          </w:p>
        </w:tc>
        <w:tc>
          <w:tcPr>
            <w:tcW w:type="dxa" w:w="1247"/>
            <w:vAlign w:val="center"/>
            <w:shd w:fill="D9EAF7"/>
          </w:tcPr>
          <w:p>
            <w:r>
              <w:t>NSR</w:t>
            </w:r>
          </w:p>
        </w:tc>
        <w:tc>
          <w:tcPr>
            <w:tcW w:type="dxa" w:w="1247"/>
            <w:vAlign w:val="center"/>
            <w:shd w:fill="D9EAF7"/>
          </w:tcPr>
          <w:p>
            <w:r>
              <w:t>CHF</w:t>
            </w:r>
          </w:p>
        </w:tc>
        <w:tc>
          <w:tcPr>
            <w:tcW w:type="dxa" w:w="1247"/>
            <w:vAlign w:val="center"/>
            <w:shd w:fill="D9EAF7"/>
          </w:tcPr>
          <w:p>
            <w:r>
              <w:t>ARR</w:t>
            </w:r>
          </w:p>
        </w:tc>
        <w:tc>
          <w:tcPr>
            <w:tcW w:type="dxa" w:w="1247"/>
            <w:vAlign w:val="center"/>
            <w:shd w:fill="D9EAF7"/>
          </w:tcPr>
          <w:p>
            <w:r>
              <w:t>AFF</w:t>
            </w:r>
          </w:p>
        </w:tc>
      </w:tr>
      <w:tr>
        <w:tc>
          <w:tcPr>
            <w:tcW w:type="dxa" w:w="2381"/>
            <w:vAlign w:val="center"/>
          </w:tcPr>
          <w:p>
            <w:r>
              <w:t>NSR</w:t>
            </w:r>
          </w:p>
        </w:tc>
        <w:tc>
          <w:tcPr>
            <w:tcW w:type="dxa" w:w="1247"/>
            <w:vAlign w:val="center"/>
          </w:tcPr>
          <w:p>
            <w:r>
              <w:t>31</w:t>
            </w:r>
          </w:p>
        </w:tc>
        <w:tc>
          <w:tcPr>
            <w:tcW w:type="dxa" w:w="1247"/>
            <w:vAlign w:val="center"/>
          </w:tcPr>
          <w:p>
            <w:r>
              <w:t>0</w:t>
            </w:r>
          </w:p>
        </w:tc>
        <w:tc>
          <w:tcPr>
            <w:tcW w:type="dxa" w:w="1247"/>
            <w:vAlign w:val="center"/>
          </w:tcPr>
          <w:p>
            <w:r>
              <w:t>9</w:t>
            </w:r>
          </w:p>
        </w:tc>
        <w:tc>
          <w:tcPr>
            <w:tcW w:type="dxa" w:w="1247"/>
            <w:vAlign w:val="center"/>
          </w:tcPr>
          <w:p>
            <w:r>
              <w:t>0</w:t>
            </w:r>
          </w:p>
        </w:tc>
      </w:tr>
      <w:tr>
        <w:tc>
          <w:tcPr>
            <w:tcW w:type="dxa" w:w="2381"/>
            <w:vAlign w:val="center"/>
          </w:tcPr>
          <w:p>
            <w:r>
              <w:t>CHF</w:t>
            </w:r>
          </w:p>
        </w:tc>
        <w:tc>
          <w:tcPr>
            <w:tcW w:type="dxa" w:w="1247"/>
            <w:vAlign w:val="center"/>
          </w:tcPr>
          <w:p>
            <w:r>
              <w:t>0</w:t>
            </w:r>
          </w:p>
        </w:tc>
        <w:tc>
          <w:tcPr>
            <w:tcW w:type="dxa" w:w="1247"/>
            <w:vAlign w:val="center"/>
          </w:tcPr>
          <w:p>
            <w:r>
              <w:t>37</w:t>
            </w:r>
          </w:p>
        </w:tc>
        <w:tc>
          <w:tcPr>
            <w:tcW w:type="dxa" w:w="1247"/>
            <w:vAlign w:val="center"/>
          </w:tcPr>
          <w:p>
            <w:r>
              <w:t>3</w:t>
            </w:r>
          </w:p>
        </w:tc>
        <w:tc>
          <w:tcPr>
            <w:tcW w:type="dxa" w:w="1247"/>
            <w:vAlign w:val="center"/>
          </w:tcPr>
          <w:p>
            <w:r>
              <w:t>0</w:t>
            </w:r>
          </w:p>
        </w:tc>
      </w:tr>
      <w:tr>
        <w:tc>
          <w:tcPr>
            <w:tcW w:type="dxa" w:w="2381"/>
            <w:vAlign w:val="center"/>
          </w:tcPr>
          <w:p>
            <w:r>
              <w:t>ARR</w:t>
            </w:r>
          </w:p>
        </w:tc>
        <w:tc>
          <w:tcPr>
            <w:tcW w:type="dxa" w:w="1247"/>
            <w:vAlign w:val="center"/>
          </w:tcPr>
          <w:p>
            <w:r>
              <w:t>6</w:t>
            </w:r>
          </w:p>
        </w:tc>
        <w:tc>
          <w:tcPr>
            <w:tcW w:type="dxa" w:w="1247"/>
            <w:vAlign w:val="center"/>
          </w:tcPr>
          <w:p>
            <w:r>
              <w:t>0</w:t>
            </w:r>
          </w:p>
        </w:tc>
        <w:tc>
          <w:tcPr>
            <w:tcW w:type="dxa" w:w="1247"/>
            <w:vAlign w:val="center"/>
          </w:tcPr>
          <w:p>
            <w:r>
              <w:t>28</w:t>
            </w:r>
          </w:p>
        </w:tc>
        <w:tc>
          <w:tcPr>
            <w:tcW w:type="dxa" w:w="1247"/>
            <w:vAlign w:val="center"/>
          </w:tcPr>
          <w:p>
            <w:r>
              <w:t>6</w:t>
            </w:r>
          </w:p>
        </w:tc>
      </w:tr>
      <w:tr>
        <w:tc>
          <w:tcPr>
            <w:tcW w:type="dxa" w:w="2381"/>
            <w:vAlign w:val="center"/>
          </w:tcPr>
          <w:p>
            <w:r>
              <w:t>AFF</w:t>
            </w:r>
          </w:p>
        </w:tc>
        <w:tc>
          <w:tcPr>
            <w:tcW w:type="dxa" w:w="1247"/>
            <w:vAlign w:val="center"/>
          </w:tcPr>
          <w:p>
            <w:r>
              <w:t>0</w:t>
            </w:r>
          </w:p>
        </w:tc>
        <w:tc>
          <w:tcPr>
            <w:tcW w:type="dxa" w:w="1247"/>
            <w:vAlign w:val="center"/>
          </w:tcPr>
          <w:p>
            <w:r>
              <w:t>3</w:t>
            </w:r>
          </w:p>
        </w:tc>
        <w:tc>
          <w:tcPr>
            <w:tcW w:type="dxa" w:w="1247"/>
            <w:vAlign w:val="center"/>
          </w:tcPr>
          <w:p>
            <w:r>
              <w:t>2</w:t>
            </w:r>
          </w:p>
        </w:tc>
        <w:tc>
          <w:tcPr>
            <w:tcW w:type="dxa" w:w="1247"/>
            <w:vAlign w:val="center"/>
          </w:tcPr>
          <w:p>
            <w:r>
              <w:t>35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381"/>
            <w:vAlign w:val="center"/>
            <w:shd w:fill="D9EAF7"/>
          </w:tcPr>
          <w:p>
            <w:r>
              <w:t>Actual / Pred</w:t>
            </w:r>
          </w:p>
        </w:tc>
        <w:tc>
          <w:tcPr>
            <w:tcW w:type="dxa" w:w="1247"/>
            <w:vAlign w:val="center"/>
            <w:shd w:fill="D9EAF7"/>
          </w:tcPr>
          <w:p>
            <w:r>
              <w:t>NSR</w:t>
            </w:r>
          </w:p>
        </w:tc>
        <w:tc>
          <w:tcPr>
            <w:tcW w:type="dxa" w:w="1247"/>
            <w:vAlign w:val="center"/>
            <w:shd w:fill="D9EAF7"/>
          </w:tcPr>
          <w:p>
            <w:r>
              <w:t>CHF</w:t>
            </w:r>
          </w:p>
        </w:tc>
        <w:tc>
          <w:tcPr>
            <w:tcW w:type="dxa" w:w="1247"/>
            <w:vAlign w:val="center"/>
            <w:shd w:fill="D9EAF7"/>
          </w:tcPr>
          <w:p>
            <w:r>
              <w:t>ARR</w:t>
            </w:r>
          </w:p>
        </w:tc>
        <w:tc>
          <w:tcPr>
            <w:tcW w:type="dxa" w:w="1247"/>
            <w:vAlign w:val="center"/>
            <w:shd w:fill="D9EAF7"/>
          </w:tcPr>
          <w:p>
            <w:r>
              <w:t>AFF</w:t>
            </w:r>
          </w:p>
        </w:tc>
      </w:tr>
      <w:tr>
        <w:tc>
          <w:tcPr>
            <w:tcW w:type="dxa" w:w="2381"/>
            <w:vAlign w:val="center"/>
          </w:tcPr>
          <w:p>
            <w:r>
              <w:t>NSR</w:t>
            </w:r>
          </w:p>
        </w:tc>
        <w:tc>
          <w:tcPr>
            <w:tcW w:type="dxa" w:w="1247"/>
            <w:vAlign w:val="center"/>
          </w:tcPr>
          <w:p>
            <w:r>
              <w:t>3</w:t>
            </w:r>
          </w:p>
        </w:tc>
        <w:tc>
          <w:tcPr>
            <w:tcW w:type="dxa" w:w="1247"/>
            <w:vAlign w:val="center"/>
          </w:tcPr>
          <w:p>
            <w:r>
              <w:t>0</w:t>
            </w:r>
          </w:p>
        </w:tc>
        <w:tc>
          <w:tcPr>
            <w:tcW w:type="dxa" w:w="1247"/>
            <w:vAlign w:val="center"/>
          </w:tcPr>
          <w:p>
            <w:r>
              <w:t>0</w:t>
            </w:r>
          </w:p>
        </w:tc>
        <w:tc>
          <w:tcPr>
            <w:tcW w:type="dxa" w:w="1247"/>
            <w:vAlign w:val="center"/>
          </w:tcPr>
          <w:p>
            <w:r>
              <w:t>0</w:t>
            </w:r>
          </w:p>
        </w:tc>
      </w:tr>
      <w:tr>
        <w:tc>
          <w:tcPr>
            <w:tcW w:type="dxa" w:w="2381"/>
            <w:vAlign w:val="center"/>
          </w:tcPr>
          <w:p>
            <w:r>
              <w:t>CHF</w:t>
            </w:r>
          </w:p>
        </w:tc>
        <w:tc>
          <w:tcPr>
            <w:tcW w:type="dxa" w:w="1247"/>
            <w:vAlign w:val="center"/>
          </w:tcPr>
          <w:p>
            <w:r>
              <w:t>0</w:t>
            </w:r>
          </w:p>
        </w:tc>
        <w:tc>
          <w:tcPr>
            <w:tcW w:type="dxa" w:w="1247"/>
            <w:vAlign w:val="center"/>
          </w:tcPr>
          <w:p>
            <w:r>
              <w:t>3</w:t>
            </w:r>
          </w:p>
        </w:tc>
        <w:tc>
          <w:tcPr>
            <w:tcW w:type="dxa" w:w="1247"/>
            <w:vAlign w:val="center"/>
          </w:tcPr>
          <w:p>
            <w:r>
              <w:t>0</w:t>
            </w:r>
          </w:p>
        </w:tc>
        <w:tc>
          <w:tcPr>
            <w:tcW w:type="dxa" w:w="1247"/>
            <w:vAlign w:val="center"/>
          </w:tcPr>
          <w:p>
            <w:r>
              <w:t>0</w:t>
            </w:r>
          </w:p>
        </w:tc>
      </w:tr>
      <w:tr>
        <w:tc>
          <w:tcPr>
            <w:tcW w:type="dxa" w:w="2381"/>
            <w:vAlign w:val="center"/>
          </w:tcPr>
          <w:p>
            <w:r>
              <w:t>ARR</w:t>
            </w:r>
          </w:p>
        </w:tc>
        <w:tc>
          <w:tcPr>
            <w:tcW w:type="dxa" w:w="1247"/>
            <w:vAlign w:val="center"/>
          </w:tcPr>
          <w:p>
            <w:r>
              <w:t>0</w:t>
            </w:r>
          </w:p>
        </w:tc>
        <w:tc>
          <w:tcPr>
            <w:tcW w:type="dxa" w:w="1247"/>
            <w:vAlign w:val="center"/>
          </w:tcPr>
          <w:p>
            <w:r>
              <w:t>0</w:t>
            </w:r>
          </w:p>
        </w:tc>
        <w:tc>
          <w:tcPr>
            <w:tcW w:type="dxa" w:w="1247"/>
            <w:vAlign w:val="center"/>
          </w:tcPr>
          <w:p>
            <w:r>
              <w:t>8</w:t>
            </w:r>
          </w:p>
        </w:tc>
        <w:tc>
          <w:tcPr>
            <w:tcW w:type="dxa" w:w="1247"/>
            <w:vAlign w:val="center"/>
          </w:tcPr>
          <w:p>
            <w:r>
              <w:t>1</w:t>
            </w:r>
          </w:p>
        </w:tc>
      </w:tr>
      <w:tr>
        <w:tc>
          <w:tcPr>
            <w:tcW w:type="dxa" w:w="2381"/>
            <w:vAlign w:val="center"/>
          </w:tcPr>
          <w:p>
            <w:r>
              <w:t>AFF</w:t>
            </w:r>
          </w:p>
        </w:tc>
        <w:tc>
          <w:tcPr>
            <w:tcW w:type="dxa" w:w="1247"/>
            <w:vAlign w:val="center"/>
          </w:tcPr>
          <w:p>
            <w:r>
              <w:t>0</w:t>
            </w:r>
          </w:p>
        </w:tc>
        <w:tc>
          <w:tcPr>
            <w:tcW w:type="dxa" w:w="1247"/>
            <w:vAlign w:val="center"/>
          </w:tcPr>
          <w:p>
            <w:r>
              <w:t>0</w:t>
            </w:r>
          </w:p>
        </w:tc>
        <w:tc>
          <w:tcPr>
            <w:tcW w:type="dxa" w:w="1247"/>
            <w:vAlign w:val="center"/>
          </w:tcPr>
          <w:p>
            <w:r>
              <w:t>0</w:t>
            </w:r>
          </w:p>
        </w:tc>
        <w:tc>
          <w:tcPr>
            <w:tcW w:type="dxa" w:w="1247"/>
            <w:vAlign w:val="center"/>
          </w:tcPr>
          <w:p>
            <w:r>
              <w:t>4</w:t>
            </w:r>
          </w:p>
        </w:tc>
      </w:tr>
    </w:tbl>
    <w:p/>
    <w:p>
      <w:r>
        <w:br w:type="page"/>
      </w:r>
    </w:p>
    <w:p>
      <w:pPr>
        <w:pStyle w:val="Heading1"/>
        <w:spacing w:before="160" w:after="80"/>
      </w:pPr>
      <w:r>
        <w:rPr>
          <w:color w:val="1F4E79"/>
          <w:sz w:val="26"/>
        </w:rPr>
        <w:t>4. 합성 자원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928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Resource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Usage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Available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Utilization</w:t>
            </w:r>
          </w:p>
        </w:tc>
      </w:tr>
      <w:tr>
        <w:tc>
          <w:tcPr>
            <w:tcW w:type="dxa" w:w="192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Slice LUTs</w:t>
            </w:r>
          </w:p>
        </w:tc>
        <w:tc>
          <w:tcPr>
            <w:tcW w:type="dxa" w:w="170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4915</w:t>
            </w:r>
          </w:p>
        </w:tc>
        <w:tc>
          <w:tcPr>
            <w:tcW w:type="dxa" w:w="170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63400</w:t>
            </w:r>
          </w:p>
        </w:tc>
        <w:tc>
          <w:tcPr>
            <w:tcW w:type="dxa" w:w="170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7.75%</w:t>
            </w:r>
          </w:p>
        </w:tc>
      </w:tr>
      <w:tr>
        <w:tc>
          <w:tcPr>
            <w:tcW w:type="dxa" w:w="192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Slice FFs</w:t>
            </w:r>
          </w:p>
        </w:tc>
        <w:tc>
          <w:tcPr>
            <w:tcW w:type="dxa" w:w="170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1052</w:t>
            </w:r>
          </w:p>
        </w:tc>
        <w:tc>
          <w:tcPr>
            <w:tcW w:type="dxa" w:w="170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126800</w:t>
            </w:r>
          </w:p>
        </w:tc>
        <w:tc>
          <w:tcPr>
            <w:tcW w:type="dxa" w:w="170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0.83%</w:t>
            </w:r>
          </w:p>
        </w:tc>
      </w:tr>
      <w:tr>
        <w:tc>
          <w:tcPr>
            <w:tcW w:type="dxa" w:w="192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DSP</w:t>
            </w:r>
          </w:p>
        </w:tc>
        <w:tc>
          <w:tcPr>
            <w:tcW w:type="dxa" w:w="170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0</w:t>
            </w:r>
          </w:p>
        </w:tc>
        <w:tc>
          <w:tcPr>
            <w:tcW w:type="dxa" w:w="170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240</w:t>
            </w:r>
          </w:p>
        </w:tc>
        <w:tc>
          <w:tcPr>
            <w:tcW w:type="dxa" w:w="170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0.00%</w:t>
            </w:r>
          </w:p>
        </w:tc>
      </w:tr>
      <w:tr>
        <w:tc>
          <w:tcPr>
            <w:tcW w:type="dxa" w:w="192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BRAM Tile</w:t>
            </w:r>
          </w:p>
        </w:tc>
        <w:tc>
          <w:tcPr>
            <w:tcW w:type="dxa" w:w="170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0</w:t>
            </w:r>
          </w:p>
        </w:tc>
        <w:tc>
          <w:tcPr>
            <w:tcW w:type="dxa" w:w="170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135</w:t>
            </w:r>
          </w:p>
        </w:tc>
        <w:tc>
          <w:tcPr>
            <w:tcW w:type="dxa" w:w="170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0.00%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10312"/>
      </w:tblGrid>
      <w:tr>
        <w:tc>
          <w:tcPr>
            <w:tcW w:type="dxa" w:w="10312"/>
            <w:shd w:fill="EAF2F8"/>
            <w:vAlign w:val="center"/>
          </w:tcPr>
          <w:p>
            <w:r>
              <w:t>해석: Model S는 NSR/CHF/AFF record를 안정적으로 유지하면서 RBBB Bank와 EERG를 통해 ARR record 오분류를 줄인다. 최종 test record accuracy는 18/19 = 94.74%이다.</w:t>
            </w:r>
          </w:p>
        </w:tc>
      </w:tr>
    </w:tbl>
    <w:p/>
    <w:p>
      <w:r>
        <w:br w:type="page"/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96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algun Gothic" w:hAnsi="Malgun Gothic" w:eastAsia="Malgun Gothi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