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b/>
          <w:color w:val="505050"/>
          <w:sz w:val="24"/>
        </w:rPr>
        <w:t>SNN ECG Classifier</w:t>
        <w:br/>
      </w:r>
      <w:r>
        <w:rPr>
          <w:b/>
          <w:color w:val="1F4E79"/>
          <w:sz w:val="44"/>
        </w:rPr>
        <w:t>SNN 4-Class Neuron WTA</w:t>
      </w:r>
    </w:p>
    <w:p>
      <w:pPr>
        <w:spacing w:after="240"/>
      </w:pPr>
      <w:r>
        <w:rPr>
          <w:color w:val="5A5A5A"/>
          <w:sz w:val="20"/>
        </w:rPr>
        <w:t>모델 A의 direct spike membrane WTA와 검증 결과</w:t>
      </w:r>
    </w:p>
    <w:p>
      <w:pPr>
        <w:pStyle w:val="Heading1"/>
        <w:spacing w:before="160" w:after="80"/>
      </w:pPr>
      <w:r>
        <w:rPr>
          <w:color w:val="1F4E79"/>
          <w:sz w:val="26"/>
        </w:rPr>
        <w:t>1. 모델 A의 class neuron 입력</w:t>
      </w:r>
    </w:p>
    <w:p>
      <w:pPr>
        <w:spacing w:after="100" w:line="276" w:lineRule="auto"/>
      </w:pPr>
      <w:r>
        <w:t>모델 A는 feature count를 직접 class score로 넣는 구조가 아니고, 예전 rate-threshold bank 구조도 아니다. feature spike가 발생하는 순간 60초 local class neuron membrane에 fixed signed weight가 직접 더해진다.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5156"/>
        <w:gridCol w:w="5156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Feature 입력</w:t>
            </w:r>
          </w:p>
        </w:tc>
        <w:tc>
          <w:tcPr>
            <w:tcW w:type="dxa" w:w="5669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모델 A에서의 역할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pNN125</w:t>
            </w:r>
          </w:p>
        </w:tc>
        <w:tc>
          <w:tcPr>
            <w:tcW w:type="dxa" w:w="5669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b w:val="0"/>
                <w:sz w:val="16"/>
              </w:rPr>
              <w:t>RR prediction match/mismatch rhythm evidence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RDM</w:t>
            </w:r>
          </w:p>
        </w:tc>
        <w:tc>
          <w:tcPr>
            <w:tcW w:type="dxa" w:w="5669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b w:val="0"/>
                <w:sz w:val="16"/>
              </w:rPr>
              <w:t>연속 RR interval 변화량 evidence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DSCR</w:t>
            </w:r>
          </w:p>
        </w:tc>
        <w:tc>
          <w:tcPr>
            <w:tcW w:type="dxa" w:w="5669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b w:val="0"/>
                <w:sz w:val="16"/>
              </w:rPr>
              <w:t>slope sign-change 기반 CHF/NSR morphology evidence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RAM</w:t>
            </w:r>
          </w:p>
        </w:tc>
        <w:tc>
          <w:tcPr>
            <w:tcW w:type="dxa" w:w="5669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b w:val="0"/>
                <w:sz w:val="16"/>
              </w:rPr>
              <w:t>R peak amplitude code 기반 ARR/AFF 보조 evidence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ECP</w:t>
            </w:r>
          </w:p>
        </w:tc>
        <w:tc>
          <w:tcPr>
            <w:tcW w:type="dxa" w:w="5669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b w:val="0"/>
                <w:sz w:val="16"/>
              </w:rPr>
              <w:t>ectopic compensatory pair 보조 evidence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QRS MAF</w:t>
            </w:r>
          </w:p>
        </w:tc>
        <w:tc>
          <w:tcPr>
            <w:tcW w:type="dxa" w:w="5669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b w:val="0"/>
                <w:sz w:val="16"/>
              </w:rPr>
              <w:t>width/complex/energy morphology 보조 evidence</w:t>
            </w:r>
          </w:p>
        </w:tc>
      </w:tr>
    </w:tbl>
    <w:p/>
    <w:p>
      <w:pPr>
        <w:pStyle w:val="Heading1"/>
        <w:spacing w:before="160" w:after="80"/>
      </w:pPr>
      <w:r>
        <w:rPr>
          <w:color w:val="1F4E79"/>
          <w:sz w:val="26"/>
        </w:rPr>
        <w:t>2. WTA 동작</w:t>
      </w:r>
    </w:p>
    <w:p>
      <w:pPr>
        <w:spacing w:after="100" w:line="276" w:lineRule="auto"/>
      </w:pPr>
      <w:r>
        <w:t>60초 window 안에서 local_mem[NSR/CHF/ARR/AFF]가 feature spike에 의해 누적된다. window가 끝나면 local evidence가 segment score에 누적된다. segment_done 시점에서 score_nsr, score_chf, score_arr, score_aff 중 가장 큰 값을 가진 class가 pred_class가 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5156"/>
        <w:gridCol w:w="5156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Class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BIAS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NSR</w:t>
            </w:r>
          </w:p>
        </w:tc>
        <w:tc>
          <w:tcPr>
            <w:tcW w:type="dxa" w:w="226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-5213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CHF</w:t>
            </w:r>
          </w:p>
        </w:tc>
        <w:tc>
          <w:tcPr>
            <w:tcW w:type="dxa" w:w="226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-22414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ARR</w:t>
            </w:r>
          </w:p>
        </w:tc>
        <w:tc>
          <w:tcPr>
            <w:tcW w:type="dxa" w:w="226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-7298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AFF</w:t>
            </w:r>
          </w:p>
        </w:tc>
        <w:tc>
          <w:tcPr>
            <w:tcW w:type="dxa" w:w="226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+32767</w:t>
            </w:r>
          </w:p>
        </w:tc>
      </w:tr>
    </w:tbl>
    <w:p/>
    <w:p>
      <w:pPr>
        <w:pStyle w:val="Heading1"/>
        <w:spacing w:before="160" w:after="80"/>
      </w:pPr>
      <w:r>
        <w:rPr>
          <w:color w:val="1F4E79"/>
          <w:sz w:val="26"/>
        </w:rPr>
        <w:t>3. strict split 검증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3437"/>
        <w:gridCol w:w="3437"/>
        <w:gridCol w:w="3437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Split</w:t>
            </w:r>
          </w:p>
        </w:tc>
        <w:tc>
          <w:tcPr>
            <w:tcW w:type="dxa" w:w="2948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Segment accuracy</w:t>
            </w:r>
          </w:p>
        </w:tc>
        <w:tc>
          <w:tcPr>
            <w:tcW w:type="dxa" w:w="2948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Record accuracy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Train</w:t>
            </w:r>
          </w:p>
        </w:tc>
        <w:tc>
          <w:tcPr>
            <w:tcW w:type="dxa" w:w="294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309/400 = 77.25%</w:t>
            </w:r>
          </w:p>
        </w:tc>
        <w:tc>
          <w:tcPr>
            <w:tcW w:type="dxa" w:w="294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41/50 = 82.00%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Validation</w:t>
            </w:r>
          </w:p>
        </w:tc>
        <w:tc>
          <w:tcPr>
            <w:tcW w:type="dxa" w:w="294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134/160 = 83.75%</w:t>
            </w:r>
          </w:p>
        </w:tc>
        <w:tc>
          <w:tcPr>
            <w:tcW w:type="dxa" w:w="294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17/20 = 85.00%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Test</w:t>
            </w:r>
          </w:p>
        </w:tc>
        <w:tc>
          <w:tcPr>
            <w:tcW w:type="dxa" w:w="294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123/160 = 76.87%</w:t>
            </w:r>
          </w:p>
        </w:tc>
        <w:tc>
          <w:tcPr>
            <w:tcW w:type="dxa" w:w="294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15/19 = 78.95%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381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Actual / Pred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NSR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CHF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ARR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AFF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NSR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CHF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ARR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AFF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381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Actual / Pred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NSR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CHF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ARR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AFF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NSR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CHF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ARR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AFF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</w:tr>
    </w:tbl>
    <w:p/>
    <w:p>
      <w:r>
        <w:br w:type="page"/>
      </w:r>
    </w:p>
    <w:p>
      <w:pPr>
        <w:pStyle w:val="Heading1"/>
        <w:spacing w:before="160" w:after="80"/>
      </w:pPr>
      <w:r>
        <w:rPr>
          <w:color w:val="1F4E79"/>
          <w:sz w:val="26"/>
        </w:rPr>
        <w:t>4. 합성 자원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1928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Resource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Usage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Available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Utilization</w:t>
            </w:r>
          </w:p>
        </w:tc>
      </w:tr>
      <w:tr>
        <w:tc>
          <w:tcPr>
            <w:tcW w:type="dxa" w:w="192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Slice LUTs</w:t>
            </w:r>
          </w:p>
        </w:tc>
        <w:tc>
          <w:tcPr>
            <w:tcW w:type="dxa" w:w="170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4915</w:t>
            </w:r>
          </w:p>
        </w:tc>
        <w:tc>
          <w:tcPr>
            <w:tcW w:type="dxa" w:w="170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63400</w:t>
            </w:r>
          </w:p>
        </w:tc>
        <w:tc>
          <w:tcPr>
            <w:tcW w:type="dxa" w:w="170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7.75%</w:t>
            </w:r>
          </w:p>
        </w:tc>
      </w:tr>
      <w:tr>
        <w:tc>
          <w:tcPr>
            <w:tcW w:type="dxa" w:w="192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Slice FFs</w:t>
            </w:r>
          </w:p>
        </w:tc>
        <w:tc>
          <w:tcPr>
            <w:tcW w:type="dxa" w:w="170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1052</w:t>
            </w:r>
          </w:p>
        </w:tc>
        <w:tc>
          <w:tcPr>
            <w:tcW w:type="dxa" w:w="170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126800</w:t>
            </w:r>
          </w:p>
        </w:tc>
        <w:tc>
          <w:tcPr>
            <w:tcW w:type="dxa" w:w="170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0.83%</w:t>
            </w:r>
          </w:p>
        </w:tc>
      </w:tr>
      <w:tr>
        <w:tc>
          <w:tcPr>
            <w:tcW w:type="dxa" w:w="192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DSP</w:t>
            </w:r>
          </w:p>
        </w:tc>
        <w:tc>
          <w:tcPr>
            <w:tcW w:type="dxa" w:w="170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0</w:t>
            </w:r>
          </w:p>
        </w:tc>
        <w:tc>
          <w:tcPr>
            <w:tcW w:type="dxa" w:w="170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240</w:t>
            </w:r>
          </w:p>
        </w:tc>
        <w:tc>
          <w:tcPr>
            <w:tcW w:type="dxa" w:w="170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0.00%</w:t>
            </w:r>
          </w:p>
        </w:tc>
      </w:tr>
      <w:tr>
        <w:tc>
          <w:tcPr>
            <w:tcW w:type="dxa" w:w="192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BRAM Tile</w:t>
            </w:r>
          </w:p>
        </w:tc>
        <w:tc>
          <w:tcPr>
            <w:tcW w:type="dxa" w:w="170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0</w:t>
            </w:r>
          </w:p>
        </w:tc>
        <w:tc>
          <w:tcPr>
            <w:tcW w:type="dxa" w:w="170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135</w:t>
            </w:r>
          </w:p>
        </w:tc>
        <w:tc>
          <w:tcPr>
            <w:tcW w:type="dxa" w:w="170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>0.00%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10312"/>
      </w:tblGrid>
      <w:tr>
        <w:tc>
          <w:tcPr>
            <w:tcW w:type="dxa" w:w="10312"/>
            <w:shd w:fill="EAF2F8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b w:val="0"/>
                <w:sz w:val="18"/>
              </w:rPr>
              <w:t>현재 병목은 ARR recall이다. 모델 A는 NSR/CHF/AFF record는 안정적으로 맞추지만 ARR record 일부가 NSR 또는 AFF로 이동한다. 따라서 이후 개선은 ARR 전용 feature 탐색이 핵심이다.</w:t>
            </w:r>
          </w:p>
        </w:tc>
      </w:tr>
    </w:tbl>
    <w:p/>
    <w:sectPr w:rsidR="00FC693F" w:rsidRPr="0006063C" w:rsidSect="00034616">
      <w:pgSz w:w="12240" w:h="15840"/>
      <w:pgMar w:top="964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