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SNN ECG Classifier</w:t>
        <w:br/>
      </w:r>
      <w:r>
        <w:rPr>
          <w:b/>
        </w:rPr>
        <w:t>SNN ECP Feature</w:t>
      </w:r>
    </w:p>
    <w:p>
      <w:pPr>
        <w:spacing w:after="240"/>
      </w:pPr>
      <w:r>
        <w:rPr>
          <w:i/>
        </w:rPr>
        <w:t>Ectopic Compensatory Pair 기반 RR pattern 보조 spike</w:t>
      </w:r>
    </w:p>
    <w:p>
      <w:pPr>
        <w:pStyle w:val="Heading1"/>
        <w:spacing w:before="160" w:after="80"/>
      </w:pPr>
      <w:r>
        <w:t>1. 역할</w:t>
      </w:r>
    </w:p>
    <w:p>
      <w:pPr>
        <w:spacing w:line="269" w:lineRule="auto" w:after="100"/>
      </w:pPr>
      <w:r>
        <w:t>ECP는 ectopic beat에서 자주 보이는 조기 RR과 보상성 지연 RR의 교대 패턴을 잡기 위한 보조 rhythm feature다. pNN125와 RDM이 전체적인 RR 불규칙성을 본다면, ECP는 직전 기준 RR보다 짧아진 beat와 길어진 beat가 번갈아 나오는지를 본다.</w:t>
      </w:r>
    </w:p>
    <w:p>
      <w:pPr>
        <w:spacing w:line="269" w:lineRule="auto" w:after="100"/>
      </w:pPr>
      <w:r>
        <w:t>모델 A에서 ECP는 단독 분류 feature가 아니다. ectopic_pair_spike가 발생하면 60초 local class membrane에 fixed signed weight로 들어가며, ARR/NSR 혼동과 AFF 과검출을 보정하는 보조 evidence로 사용된다.</w:t>
      </w:r>
    </w:p>
    <w:p>
      <w:pPr>
        <w:pStyle w:val="Heading1"/>
        <w:spacing w:before="160" w:after="80"/>
      </w:pPr>
      <w:r>
        <w:t>2. 입력과 기준 RR</w:t>
      </w:r>
    </w:p>
    <w:p>
      <w:pPr>
        <w:spacing w:line="269" w:lineRule="auto" w:after="100"/>
      </w:pPr>
      <w:r>
        <w:t>ECP는 별도 beat detector를 만들지 않고 pNN125/RDM 경로에서 계산된 RR interval을 재사용한다. rr_interval_valid_spike가 들어올 때 현재 RR interval을 받고, 내부 rr_ref는 최근 RR의 느린 기준값으로 갱신된다.</w:t>
      </w:r>
    </w:p>
    <w:tbl>
      <w:tblPr>
        <w:tblStyle w:val="TableGrid"/>
        <w:tblW w:type="auto" w:w="0"/>
        <w:tblLook w:firstColumn="1" w:firstRow="1" w:lastColumn="0" w:lastRow="0" w:noHBand="0" w:noVBand="1" w:val="04A0"/>
      </w:tblPr>
      <w:tblGrid>
        <w:gridCol w:w="4986"/>
        <w:gridCol w:w="4986"/>
      </w:tblGrid>
      <w:tr>
        <w:tc>
          <w:tcPr>
            <w:tcW w:type="dxa" w:w="2268"/>
            <w:shd w:fill="D9EAF7"/>
            <w:tcMar>
              <w:top w:w="120" w:type="dxa"/>
              <w:left w:w="120" w:type="dxa"/>
              <w:bottom w:w="120" w:type="dxa"/>
              <w:right w:w="120" w:type="dxa"/>
            </w:tcMar>
          </w:tcPr>
          <w:p>
            <w:pPr>
              <w:jc w:val="center"/>
            </w:pPr>
            <w:r>
              <w:rPr>
                <w:b/>
              </w:rPr>
              <w:t>항목</w:t>
            </w:r>
          </w:p>
        </w:tc>
        <w:tc>
          <w:tcPr>
            <w:tcW w:type="dxa" w:w="6520"/>
            <w:shd w:fill="D9EAF7"/>
            <w:tcMar>
              <w:top w:w="120" w:type="dxa"/>
              <w:left w:w="120" w:type="dxa"/>
              <w:bottom w:w="120" w:type="dxa"/>
              <w:right w:w="120" w:type="dxa"/>
            </w:tcMar>
          </w:tcPr>
          <w:p>
            <w:pPr>
              <w:jc w:val="center"/>
            </w:pPr>
            <w:r>
              <w:rPr>
                <w:b/>
              </w:rPr>
              <w:t>모델 A 값 / 의미</w:t>
            </w:r>
          </w:p>
        </w:tc>
      </w:tr>
      <w:tr>
        <w:tc>
          <w:tcPr>
            <w:tcW w:type="dxa" w:w="2268"/>
            <w:tcMar>
              <w:top w:w="120" w:type="dxa"/>
              <w:left w:w="120" w:type="dxa"/>
              <w:bottom w:w="120" w:type="dxa"/>
              <w:right w:w="120" w:type="dxa"/>
            </w:tcMar>
          </w:tcPr>
          <w:p>
            <w:pPr>
              <w:spacing w:line="252" w:lineRule="auto"/>
            </w:pPr>
            <w:r>
              <w:t>RR_DELTA_TH</w:t>
            </w:r>
          </w:p>
        </w:tc>
        <w:tc>
          <w:tcPr>
            <w:tcW w:type="dxa" w:w="6520"/>
            <w:tcMar>
              <w:top w:w="120" w:type="dxa"/>
              <w:left w:w="120" w:type="dxa"/>
              <w:bottom w:w="120" w:type="dxa"/>
              <w:right w:w="120" w:type="dxa"/>
            </w:tcMar>
          </w:tcPr>
          <w:p>
            <w:pPr>
              <w:spacing w:line="252" w:lineRule="auto"/>
            </w:pPr>
            <w:r>
              <w:t>120 ms. 기준 RR보다 충분히 짧거나 긴지를 판단하는 dead-band</w:t>
            </w:r>
          </w:p>
        </w:tc>
      </w:tr>
      <w:tr>
        <w:tc>
          <w:tcPr>
            <w:tcW w:type="dxa" w:w="2268"/>
            <w:tcMar>
              <w:top w:w="120" w:type="dxa"/>
              <w:left w:w="120" w:type="dxa"/>
              <w:bottom w:w="120" w:type="dxa"/>
              <w:right w:w="120" w:type="dxa"/>
            </w:tcMar>
          </w:tcPr>
          <w:p>
            <w:pPr>
              <w:spacing w:line="252" w:lineRule="auto"/>
            </w:pPr>
            <w:r>
              <w:t>REF_SHIFT</w:t>
            </w:r>
          </w:p>
        </w:tc>
        <w:tc>
          <w:tcPr>
            <w:tcW w:type="dxa" w:w="6520"/>
            <w:tcMar>
              <w:top w:w="120" w:type="dxa"/>
              <w:left w:w="120" w:type="dxa"/>
              <w:bottom w:w="120" w:type="dxa"/>
              <w:right w:w="120" w:type="dxa"/>
            </w:tcMar>
          </w:tcPr>
          <w:p>
            <w:pPr>
              <w:spacing w:line="252" w:lineRule="auto"/>
            </w:pPr>
            <w:r>
              <w:t>4. |RR - rr_ref|의 1/16만큼 기준 RR을 천천히 따라가게 함</w:t>
            </w:r>
          </w:p>
        </w:tc>
      </w:tr>
      <w:tr>
        <w:tc>
          <w:tcPr>
            <w:tcW w:type="dxa" w:w="2268"/>
            <w:tcMar>
              <w:top w:w="120" w:type="dxa"/>
              <w:left w:w="120" w:type="dxa"/>
              <w:bottom w:w="120" w:type="dxa"/>
              <w:right w:w="120" w:type="dxa"/>
            </w:tcMar>
          </w:tcPr>
          <w:p>
            <w:pPr>
              <w:spacing w:line="252" w:lineRule="auto"/>
            </w:pPr>
            <w:r>
              <w:t>early_rr_spike</w:t>
            </w:r>
          </w:p>
        </w:tc>
        <w:tc>
          <w:tcPr>
            <w:tcW w:type="dxa" w:w="6520"/>
            <w:tcMar>
              <w:top w:w="120" w:type="dxa"/>
              <w:left w:w="120" w:type="dxa"/>
              <w:bottom w:w="120" w:type="dxa"/>
              <w:right w:w="120" w:type="dxa"/>
            </w:tcMar>
          </w:tcPr>
          <w:p>
            <w:pPr>
              <w:spacing w:line="252" w:lineRule="auto"/>
            </w:pPr>
            <w:r>
              <w:t>current RR + 120 ms &lt; rr_ref이면 발화</w:t>
            </w:r>
          </w:p>
        </w:tc>
      </w:tr>
      <w:tr>
        <w:tc>
          <w:tcPr>
            <w:tcW w:type="dxa" w:w="2268"/>
            <w:tcMar>
              <w:top w:w="120" w:type="dxa"/>
              <w:left w:w="120" w:type="dxa"/>
              <w:bottom w:w="120" w:type="dxa"/>
              <w:right w:w="120" w:type="dxa"/>
            </w:tcMar>
          </w:tcPr>
          <w:p>
            <w:pPr>
              <w:spacing w:line="252" w:lineRule="auto"/>
            </w:pPr>
            <w:r>
              <w:t>late_rr_spike</w:t>
            </w:r>
          </w:p>
        </w:tc>
        <w:tc>
          <w:tcPr>
            <w:tcW w:type="dxa" w:w="6520"/>
            <w:tcMar>
              <w:top w:w="120" w:type="dxa"/>
              <w:left w:w="120" w:type="dxa"/>
              <w:bottom w:w="120" w:type="dxa"/>
              <w:right w:w="120" w:type="dxa"/>
            </w:tcMar>
          </w:tcPr>
          <w:p>
            <w:pPr>
              <w:spacing w:line="252" w:lineRule="auto"/>
            </w:pPr>
            <w:r>
              <w:t>current RR &gt; rr_ref + 120 ms이면 발화</w:t>
            </w:r>
          </w:p>
        </w:tc>
      </w:tr>
      <w:tr>
        <w:tc>
          <w:tcPr>
            <w:tcW w:type="dxa" w:w="2268"/>
            <w:tcMar>
              <w:top w:w="120" w:type="dxa"/>
              <w:left w:w="120" w:type="dxa"/>
              <w:bottom w:w="120" w:type="dxa"/>
              <w:right w:w="120" w:type="dxa"/>
            </w:tcMar>
          </w:tcPr>
          <w:p>
            <w:pPr>
              <w:spacing w:line="252" w:lineRule="auto"/>
            </w:pPr>
            <w:r>
              <w:t>ectopic_pair_spike</w:t>
            </w:r>
          </w:p>
        </w:tc>
        <w:tc>
          <w:tcPr>
            <w:tcW w:type="dxa" w:w="6520"/>
            <w:tcMar>
              <w:top w:w="120" w:type="dxa"/>
              <w:left w:w="120" w:type="dxa"/>
              <w:bottom w:w="120" w:type="dxa"/>
              <w:right w:w="120" w:type="dxa"/>
            </w:tcMar>
          </w:tcPr>
          <w:p>
            <w:pPr>
              <w:spacing w:line="252" w:lineRule="auto"/>
            </w:pPr>
            <w:r>
              <w:t>이전 abnormal pattern과 현재 pattern이 early/late로 교대하면 발화</w:t>
            </w:r>
          </w:p>
        </w:tc>
      </w:tr>
    </w:tbl>
    <w:p/>
    <w:p>
      <w:pPr>
        <w:pStyle w:val="Heading1"/>
        <w:spacing w:before="160" w:after="80"/>
      </w:pPr>
      <w:r>
        <w:t>3. SNN식 동작</w:t>
      </w:r>
    </w:p>
    <w:p>
      <w:pPr>
        <w:spacing w:line="269" w:lineRule="auto" w:after="100"/>
      </w:pPr>
      <w:r>
        <w:t>ECP는 RR 차이를 평균값으로 계산해 class에 넣지 않는다. RR이 들어오는 순간 early 또는 late spike를 만들고, 두 abnormal pattern이 교대로 나타나는 순간 ectopic_pair_spike를 만든다. 이 spike만 class neuron membrane에 전달된다.</w:t>
      </w:r>
    </w:p>
    <w:p>
      <w:pPr>
        <w:spacing w:line="269" w:lineRule="auto" w:after="100"/>
      </w:pPr>
      <w:r>
        <w:t>ref_valid가 아직 없을 때는 첫 RR을 rr_ref로 저장한다. 이후 RR이 들어올 때마다 현재 RR과 rr_ref를 비교해 early/late를 판단하고, rr_ref는 현재 RR 방향으로 조금씩 이동한다. 이 구조는 고정 threshold 하나에 묶이지 않고 record 내부의 평균 RR 변화에 적응한다.</w:t>
      </w:r>
    </w:p>
    <w:p>
      <w:pPr>
        <w:pStyle w:val="Heading1"/>
        <w:spacing w:before="160" w:after="80"/>
      </w:pPr>
      <w:r>
        <w:t>4. 모델 A에서 class membrane 연결</w:t>
      </w:r>
    </w:p>
    <w:p>
      <w:pPr>
        <w:spacing w:line="269" w:lineRule="auto" w:after="100"/>
      </w:pPr>
      <w:r>
        <w:t>ectopic_pair_spike가 발생하면 local_mem[NSR/CHF/ARR/AFF]에 다음 signed weight가 직접 더해진다. 이 값은 train/validation 기반 탐색 후 모델 A에 고정된 값이다.</w:t>
      </w:r>
    </w:p>
    <w:tbl>
      <w:tblPr>
        <w:tblStyle w:val="TableGrid"/>
        <w:tblW w:type="auto" w:w="0"/>
        <w:tblLook w:firstColumn="1" w:firstRow="1" w:lastColumn="0" w:lastRow="0" w:noHBand="0" w:noVBand="1" w:val="04A0"/>
      </w:tblPr>
      <w:tblGrid>
        <w:gridCol w:w="3324"/>
        <w:gridCol w:w="3324"/>
        <w:gridCol w:w="3324"/>
      </w:tblGrid>
      <w:tr>
        <w:tc>
          <w:tcPr>
            <w:tcW w:type="dxa" w:w="2268"/>
            <w:shd w:fill="D9EAF7"/>
            <w:tcMar>
              <w:top w:w="120" w:type="dxa"/>
              <w:left w:w="120" w:type="dxa"/>
              <w:bottom w:w="120" w:type="dxa"/>
              <w:right w:w="120" w:type="dxa"/>
            </w:tcMar>
          </w:tcPr>
          <w:p>
            <w:pPr>
              <w:jc w:val="center"/>
            </w:pPr>
            <w:r>
              <w:rPr>
                <w:b/>
              </w:rPr>
              <w:t>Class membrane</w:t>
            </w:r>
          </w:p>
        </w:tc>
        <w:tc>
          <w:tcPr>
            <w:tcW w:type="dxa" w:w="1701"/>
            <w:shd w:fill="D9EAF7"/>
            <w:tcMar>
              <w:top w:w="120" w:type="dxa"/>
              <w:left w:w="120" w:type="dxa"/>
              <w:bottom w:w="120" w:type="dxa"/>
              <w:right w:w="120" w:type="dxa"/>
            </w:tcMar>
          </w:tcPr>
          <w:p>
            <w:pPr>
              <w:jc w:val="center"/>
            </w:pPr>
            <w:r>
              <w:rPr>
                <w:b/>
              </w:rPr>
              <w:t>ECP weight</w:t>
            </w:r>
          </w:p>
        </w:tc>
        <w:tc>
          <w:tcPr>
            <w:tcW w:type="dxa" w:w="4819"/>
            <w:shd w:fill="D9EAF7"/>
            <w:tcMar>
              <w:top w:w="120" w:type="dxa"/>
              <w:left w:w="120" w:type="dxa"/>
              <w:bottom w:w="120" w:type="dxa"/>
              <w:right w:w="120" w:type="dxa"/>
            </w:tcMar>
          </w:tcPr>
          <w:p>
            <w:pPr>
              <w:jc w:val="center"/>
            </w:pPr>
            <w:r>
              <w:rPr>
                <w:b/>
              </w:rPr>
              <w:t>해석</w:t>
            </w:r>
          </w:p>
        </w:tc>
      </w:tr>
      <w:tr>
        <w:tc>
          <w:tcPr>
            <w:tcW w:type="dxa" w:w="2268"/>
            <w:tcMar>
              <w:top w:w="120" w:type="dxa"/>
              <w:left w:w="120" w:type="dxa"/>
              <w:bottom w:w="120" w:type="dxa"/>
              <w:right w:w="120" w:type="dxa"/>
            </w:tcMar>
          </w:tcPr>
          <w:p>
            <w:pPr>
              <w:spacing w:line="252" w:lineRule="auto"/>
            </w:pPr>
            <w:r>
              <w:t>NSR</w:t>
            </w:r>
          </w:p>
        </w:tc>
        <w:tc>
          <w:tcPr>
            <w:tcW w:type="dxa" w:w="1701"/>
            <w:tcMar>
              <w:top w:w="120" w:type="dxa"/>
              <w:left w:w="120" w:type="dxa"/>
              <w:bottom w:w="120" w:type="dxa"/>
              <w:right w:w="120" w:type="dxa"/>
            </w:tcMar>
          </w:tcPr>
          <w:p>
            <w:pPr>
              <w:spacing w:line="252" w:lineRule="auto"/>
            </w:pPr>
            <w:r>
              <w:t>+976</w:t>
            </w:r>
          </w:p>
        </w:tc>
        <w:tc>
          <w:tcPr>
            <w:tcW w:type="dxa" w:w="4819"/>
            <w:tcMar>
              <w:top w:w="120" w:type="dxa"/>
              <w:left w:w="120" w:type="dxa"/>
              <w:bottom w:w="120" w:type="dxa"/>
              <w:right w:w="120" w:type="dxa"/>
            </w:tcMar>
          </w:tcPr>
          <w:p>
            <w:pPr>
              <w:spacing w:line="252" w:lineRule="auto"/>
            </w:pPr>
            <w:r>
              <w:t>ECP만으로 NSR을 강하게 배제하지 않도록 완만한 양의 weight</w:t>
            </w:r>
          </w:p>
        </w:tc>
      </w:tr>
      <w:tr>
        <w:tc>
          <w:tcPr>
            <w:tcW w:type="dxa" w:w="2268"/>
            <w:tcMar>
              <w:top w:w="120" w:type="dxa"/>
              <w:left w:w="120" w:type="dxa"/>
              <w:bottom w:w="120" w:type="dxa"/>
              <w:right w:w="120" w:type="dxa"/>
            </w:tcMar>
          </w:tcPr>
          <w:p>
            <w:pPr>
              <w:spacing w:line="252" w:lineRule="auto"/>
            </w:pPr>
            <w:r>
              <w:t>CHF</w:t>
            </w:r>
          </w:p>
        </w:tc>
        <w:tc>
          <w:tcPr>
            <w:tcW w:type="dxa" w:w="1701"/>
            <w:tcMar>
              <w:top w:w="120" w:type="dxa"/>
              <w:left w:w="120" w:type="dxa"/>
              <w:bottom w:w="120" w:type="dxa"/>
              <w:right w:w="120" w:type="dxa"/>
            </w:tcMar>
          </w:tcPr>
          <w:p>
            <w:pPr>
              <w:spacing w:line="252" w:lineRule="auto"/>
            </w:pPr>
            <w:r>
              <w:t>+1663</w:t>
            </w:r>
          </w:p>
        </w:tc>
        <w:tc>
          <w:tcPr>
            <w:tcW w:type="dxa" w:w="4819"/>
            <w:tcMar>
              <w:top w:w="120" w:type="dxa"/>
              <w:left w:w="120" w:type="dxa"/>
              <w:bottom w:w="120" w:type="dxa"/>
              <w:right w:w="120" w:type="dxa"/>
            </w:tcMar>
          </w:tcPr>
          <w:p>
            <w:pPr>
              <w:spacing w:line="252" w:lineRule="auto"/>
            </w:pPr>
            <w:r>
              <w:t>CHF 구간의 일부 RR 흔들림을 과도하게 ARR/AFF로 보내지 않기 위한 보정</w:t>
            </w:r>
          </w:p>
        </w:tc>
      </w:tr>
      <w:tr>
        <w:tc>
          <w:tcPr>
            <w:tcW w:type="dxa" w:w="2268"/>
            <w:tcMar>
              <w:top w:w="120" w:type="dxa"/>
              <w:left w:w="120" w:type="dxa"/>
              <w:bottom w:w="120" w:type="dxa"/>
              <w:right w:w="120" w:type="dxa"/>
            </w:tcMar>
          </w:tcPr>
          <w:p>
            <w:pPr>
              <w:spacing w:line="252" w:lineRule="auto"/>
            </w:pPr>
            <w:r>
              <w:t>ARR</w:t>
            </w:r>
          </w:p>
        </w:tc>
        <w:tc>
          <w:tcPr>
            <w:tcW w:type="dxa" w:w="1701"/>
            <w:tcMar>
              <w:top w:w="120" w:type="dxa"/>
              <w:left w:w="120" w:type="dxa"/>
              <w:bottom w:w="120" w:type="dxa"/>
              <w:right w:w="120" w:type="dxa"/>
            </w:tcMar>
          </w:tcPr>
          <w:p>
            <w:pPr>
              <w:spacing w:line="252" w:lineRule="auto"/>
            </w:pPr>
            <w:r>
              <w:t>+328</w:t>
            </w:r>
          </w:p>
        </w:tc>
        <w:tc>
          <w:tcPr>
            <w:tcW w:type="dxa" w:w="4819"/>
            <w:tcMar>
              <w:top w:w="120" w:type="dxa"/>
              <w:left w:w="120" w:type="dxa"/>
              <w:bottom w:w="120" w:type="dxa"/>
              <w:right w:w="120" w:type="dxa"/>
            </w:tcMar>
          </w:tcPr>
          <w:p>
            <w:pPr>
              <w:spacing w:line="252" w:lineRule="auto"/>
            </w:pPr>
            <w:r>
              <w:t>ARR 보조 evidence이나 단독 결정력은 약하게 유지</w:t>
            </w:r>
          </w:p>
        </w:tc>
      </w:tr>
      <w:tr>
        <w:tc>
          <w:tcPr>
            <w:tcW w:type="dxa" w:w="2268"/>
            <w:tcMar>
              <w:top w:w="120" w:type="dxa"/>
              <w:left w:w="120" w:type="dxa"/>
              <w:bottom w:w="120" w:type="dxa"/>
              <w:right w:w="120" w:type="dxa"/>
            </w:tcMar>
          </w:tcPr>
          <w:p>
            <w:pPr>
              <w:spacing w:line="252" w:lineRule="auto"/>
            </w:pPr>
            <w:r>
              <w:t>AFF</w:t>
            </w:r>
          </w:p>
        </w:tc>
        <w:tc>
          <w:tcPr>
            <w:tcW w:type="dxa" w:w="1701"/>
            <w:tcMar>
              <w:top w:w="120" w:type="dxa"/>
              <w:left w:w="120" w:type="dxa"/>
              <w:bottom w:w="120" w:type="dxa"/>
              <w:right w:w="120" w:type="dxa"/>
            </w:tcMar>
          </w:tcPr>
          <w:p>
            <w:pPr>
              <w:spacing w:line="252" w:lineRule="auto"/>
            </w:pPr>
            <w:r>
              <w:t>-2967</w:t>
            </w:r>
          </w:p>
        </w:tc>
        <w:tc>
          <w:tcPr>
            <w:tcW w:type="dxa" w:w="4819"/>
            <w:tcMar>
              <w:top w:w="120" w:type="dxa"/>
              <w:left w:w="120" w:type="dxa"/>
              <w:bottom w:w="120" w:type="dxa"/>
              <w:right w:w="120" w:type="dxa"/>
            </w:tcMar>
          </w:tcPr>
          <w:p>
            <w:pPr>
              <w:spacing w:line="252" w:lineRule="auto"/>
            </w:pPr>
            <w:r>
              <w:t>ECP성 교대 패턴이 AFF 과검출로 이어지는 것을 억제</w:t>
            </w:r>
          </w:p>
        </w:tc>
      </w:tr>
    </w:tbl>
    <w:p/>
    <w:p>
      <w:pPr>
        <w:pStyle w:val="Heading1"/>
        <w:spacing w:before="160" w:after="80"/>
      </w:pPr>
      <w:r>
        <w:t>5. 한계와 모델 A에서의 위치</w:t>
      </w:r>
    </w:p>
    <w:p>
      <w:pPr>
        <w:spacing w:line="269" w:lineRule="auto" w:after="100"/>
      </w:pPr>
      <w:r>
        <w:t>ECP는 premature beat와 compensatory pause가 뚜렷한 경우에 의미가 있다. 그러나 규칙적인 RBBB형 ARR처럼 RR interval이 크게 흔들리지 않는 경우에는 ECP가 거의 반응하지 않는다.</w:t>
      </w:r>
    </w:p>
    <w:p>
      <w:pPr>
        <w:spacing w:line="269" w:lineRule="auto" w:after="100"/>
      </w:pPr>
      <w:r>
        <w:t>따라서 모델 A에서 ECP는 핵심 feature가 아니라 보조 feature다. 최종 class 판단은 pNN125, RDM, DSCR, RAM, QRS MAF와 함께 60초 local membrane에 누적된 결과로 수행된다.</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