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6A506" w14:textId="77777777" w:rsidR="00B83454" w:rsidRPr="00B83454" w:rsidRDefault="00B83454" w:rsidP="00B83454">
      <w:r w:rsidRPr="00B83454">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B83454">
        <w:t>transaction(s)</w:t>
      </w:r>
      <w:proofErr w:type="gramEnd"/>
      <w:r w:rsidRPr="00B83454">
        <w:t xml:space="preserve"> totaling $213,000.00 and sent between 09/02/2024 and 09/14/2024.</w:t>
      </w:r>
    </w:p>
    <w:p w14:paraId="6905BE48" w14:textId="77777777" w:rsidR="00B83454" w:rsidRPr="00B83454" w:rsidRDefault="00B83454" w:rsidP="00B83454"/>
    <w:p w14:paraId="1C61B5FC" w14:textId="77777777" w:rsidR="00B83454" w:rsidRPr="00B83454" w:rsidRDefault="00B83454" w:rsidP="00B83454">
      <w:r w:rsidRPr="00B83454">
        <w:t xml:space="preserve">TRANSACTION SUMMARY  </w:t>
      </w:r>
    </w:p>
    <w:p w14:paraId="6B8F589D" w14:textId="77777777" w:rsidR="00B83454" w:rsidRPr="00B83454" w:rsidRDefault="00B83454" w:rsidP="00B83454">
      <w:r w:rsidRPr="00B83454">
        <w:t xml:space="preserve">Between September 2, 2024, and September 13, 2024, John Diamond deposited $9,000.00 in cash daily into account ACC-1 for 12 consecutive days, totaling $108,000.00. On September 14, 2024, a $105,000.00 outgoing wire transfer was initiated from ACC-1 to ACME Investment Management, a beneficiary in the Cayman Islands. The cash deposits were made in round-dollar amounts at or below the Currency Transaction Report (CTR) threshold. The funds were rapidly consolidated and transferred offshore within two days of the final deposit.  </w:t>
      </w:r>
    </w:p>
    <w:p w14:paraId="75477798" w14:textId="77777777" w:rsidR="00B83454" w:rsidRPr="00B83454" w:rsidRDefault="00B83454" w:rsidP="00B83454"/>
    <w:p w14:paraId="51C3E619" w14:textId="77777777" w:rsidR="00B83454" w:rsidRPr="00B83454" w:rsidRDefault="00B83454" w:rsidP="00B83454">
      <w:r w:rsidRPr="00B83454">
        <w:t xml:space="preserve">CUSTOMER PROFILE (KYC) AND RELATIONSHIP ANALYSIS  </w:t>
      </w:r>
    </w:p>
    <w:p w14:paraId="635F2BDD" w14:textId="77777777" w:rsidR="00B83454" w:rsidRPr="00B83454" w:rsidRDefault="00B83454" w:rsidP="00B83454">
      <w:r w:rsidRPr="00B83454">
        <w:t xml:space="preserve">John Diamond (Customer ID: C-1) is a U.S. resident individual purportedly engaged in the manufacturing sector. KYC records indicate expected transactional activity limited to ACH and wire transfers within the U.S. No corporate registration, business licenses, or documented ties to cash-intensive operations were identified. LLM NY’s review found no declared or verifiable relationship between Diamond, ACME Investment Management, or the Cayman Islands. KYC records </w:t>
      </w:r>
      <w:proofErr w:type="gramStart"/>
      <w:r w:rsidRPr="00B83454">
        <w:t>lack</w:t>
      </w:r>
      <w:proofErr w:type="gramEnd"/>
      <w:r w:rsidRPr="00B83454">
        <w:t xml:space="preserve"> supporting documentation for </w:t>
      </w:r>
      <w:proofErr w:type="gramStart"/>
      <w:r w:rsidRPr="00B83454">
        <w:t>source</w:t>
      </w:r>
      <w:proofErr w:type="gramEnd"/>
      <w:r w:rsidRPr="00B83454">
        <w:t xml:space="preserve"> of wealth, business revenue models, or justification for offshore financial activity.  </w:t>
      </w:r>
    </w:p>
    <w:p w14:paraId="5522B4DF" w14:textId="77777777" w:rsidR="00B83454" w:rsidRPr="00B83454" w:rsidRDefault="00B83454" w:rsidP="00B83454"/>
    <w:p w14:paraId="2F81A4F5" w14:textId="77777777" w:rsidR="00B83454" w:rsidRPr="00B83454" w:rsidRDefault="00B83454" w:rsidP="00B83454">
      <w:r w:rsidRPr="00B83454">
        <w:t xml:space="preserve">SUSPICIOUS ACTIVITY REASONS  </w:t>
      </w:r>
    </w:p>
    <w:p w14:paraId="1BA20B98" w14:textId="77777777" w:rsidR="00B83454" w:rsidRPr="00B83454" w:rsidRDefault="00B83454" w:rsidP="00B83454">
      <w:r w:rsidRPr="00B83454">
        <w:t xml:space="preserve">These transactions are being reported due to the following:  </w:t>
      </w:r>
    </w:p>
    <w:p w14:paraId="32A38FB9" w14:textId="77777777" w:rsidR="00B83454" w:rsidRPr="00B83454" w:rsidRDefault="00B83454" w:rsidP="00B83454">
      <w:r w:rsidRPr="00B83454">
        <w:t xml:space="preserve">1. **No apparent economic or business purpose**: The customer’s manufacturing occupation does not align with frequent high-value cash deposits or sudden offshore transfers.  </w:t>
      </w:r>
    </w:p>
    <w:p w14:paraId="47CD8D50" w14:textId="77777777" w:rsidR="00B83454" w:rsidRPr="00B83454" w:rsidRDefault="00B83454" w:rsidP="00B83454">
      <w:r w:rsidRPr="00B83454">
        <w:t xml:space="preserve">2. **Possible structuring of cash deposits**: Twelve consecutive $9,000.00 deposits suggest intentional avoidance of CTR reporting thresholds.  </w:t>
      </w:r>
    </w:p>
    <w:p w14:paraId="33B31F7D" w14:textId="77777777" w:rsidR="00B83454" w:rsidRPr="00B83454" w:rsidRDefault="00B83454" w:rsidP="00B83454">
      <w:r w:rsidRPr="00B83454">
        <w:t xml:space="preserve">3. **High-risk jurisdiction involvement**: Funds were transferred to the Cayman Islands, a jurisdiction associated with elevated AML/CFT risks.  </w:t>
      </w:r>
    </w:p>
    <w:p w14:paraId="79CBC7B0" w14:textId="77777777" w:rsidR="00B83454" w:rsidRPr="00B83454" w:rsidRDefault="00B83454" w:rsidP="00B83454">
      <w:r w:rsidRPr="00B83454">
        <w:t xml:space="preserve">4. **Unusual transaction patterns**: Rapid aggregation of cash deposits followed by an immediate large wire to an unrelated offshore entity.  </w:t>
      </w:r>
    </w:p>
    <w:p w14:paraId="19B89D81" w14:textId="77777777" w:rsidR="00B83454" w:rsidRPr="00B83454" w:rsidRDefault="00B83454" w:rsidP="00B83454">
      <w:r w:rsidRPr="00B83454">
        <w:t xml:space="preserve">5. **Lack of identifiable relationship**: No legitimate business nexus exists between the customer and the Cayman Islands beneficiary.  </w:t>
      </w:r>
    </w:p>
    <w:p w14:paraId="5A7F2D5C" w14:textId="77777777" w:rsidR="00B83454" w:rsidRPr="00B83454" w:rsidRDefault="00B83454" w:rsidP="00B83454"/>
    <w:p w14:paraId="5BFC17E8" w14:textId="77777777" w:rsidR="00B83454" w:rsidRPr="00B83454" w:rsidRDefault="00B83454" w:rsidP="00B83454">
      <w:r w:rsidRPr="00B83454">
        <w:t xml:space="preserve">CLOSING STATEMENT  </w:t>
      </w:r>
    </w:p>
    <w:p w14:paraId="712E184A" w14:textId="77777777" w:rsidR="00B83454" w:rsidRPr="00B83454" w:rsidRDefault="00B83454" w:rsidP="00B83454">
      <w:r w:rsidRPr="00B83454">
        <w:lastRenderedPageBreak/>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03B013F" w14:textId="72867610" w:rsidR="00AC75CD" w:rsidRPr="00B83454" w:rsidRDefault="00AC75CD" w:rsidP="00B83454"/>
    <w:sectPr w:rsidR="00AC75CD" w:rsidRPr="00B83454"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8A"/>
    <w:rsid w:val="00030D52"/>
    <w:rsid w:val="00106CFE"/>
    <w:rsid w:val="00206AB3"/>
    <w:rsid w:val="00263E74"/>
    <w:rsid w:val="002B7245"/>
    <w:rsid w:val="003152A8"/>
    <w:rsid w:val="0044308A"/>
    <w:rsid w:val="005545E6"/>
    <w:rsid w:val="005B19CB"/>
    <w:rsid w:val="00AC75CD"/>
    <w:rsid w:val="00B83454"/>
    <w:rsid w:val="00BD2AED"/>
    <w:rsid w:val="00C511AB"/>
    <w:rsid w:val="00DF1F43"/>
    <w:rsid w:val="00F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5B9B"/>
  <w15:chartTrackingRefBased/>
  <w15:docId w15:val="{51E61789-3043-43E7-B6B4-70752DE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8A"/>
    <w:rPr>
      <w:rFonts w:eastAsiaTheme="majorEastAsia" w:cstheme="majorBidi"/>
      <w:color w:val="272727" w:themeColor="text1" w:themeTint="D8"/>
    </w:rPr>
  </w:style>
  <w:style w:type="paragraph" w:styleId="Title">
    <w:name w:val="Title"/>
    <w:basedOn w:val="Normal"/>
    <w:next w:val="Normal"/>
    <w:link w:val="TitleChar"/>
    <w:uiPriority w:val="10"/>
    <w:qFormat/>
    <w:rsid w:val="0044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8A"/>
    <w:pPr>
      <w:spacing w:before="160"/>
      <w:jc w:val="center"/>
    </w:pPr>
    <w:rPr>
      <w:i/>
      <w:iCs/>
      <w:color w:val="404040" w:themeColor="text1" w:themeTint="BF"/>
    </w:rPr>
  </w:style>
  <w:style w:type="character" w:customStyle="1" w:styleId="QuoteChar">
    <w:name w:val="Quote Char"/>
    <w:basedOn w:val="DefaultParagraphFont"/>
    <w:link w:val="Quote"/>
    <w:uiPriority w:val="29"/>
    <w:rsid w:val="0044308A"/>
    <w:rPr>
      <w:i/>
      <w:iCs/>
      <w:color w:val="404040" w:themeColor="text1" w:themeTint="BF"/>
    </w:rPr>
  </w:style>
  <w:style w:type="paragraph" w:styleId="ListParagraph">
    <w:name w:val="List Paragraph"/>
    <w:basedOn w:val="Normal"/>
    <w:uiPriority w:val="34"/>
    <w:qFormat/>
    <w:rsid w:val="0044308A"/>
    <w:pPr>
      <w:ind w:left="720"/>
      <w:contextualSpacing/>
    </w:pPr>
  </w:style>
  <w:style w:type="character" w:styleId="IntenseEmphasis">
    <w:name w:val="Intense Emphasis"/>
    <w:basedOn w:val="DefaultParagraphFont"/>
    <w:uiPriority w:val="21"/>
    <w:qFormat/>
    <w:rsid w:val="0044308A"/>
    <w:rPr>
      <w:i/>
      <w:iCs/>
      <w:color w:val="0F4761" w:themeColor="accent1" w:themeShade="BF"/>
    </w:rPr>
  </w:style>
  <w:style w:type="paragraph" w:styleId="IntenseQuote">
    <w:name w:val="Intense Quote"/>
    <w:basedOn w:val="Normal"/>
    <w:next w:val="Normal"/>
    <w:link w:val="IntenseQuoteChar"/>
    <w:uiPriority w:val="30"/>
    <w:qFormat/>
    <w:rsid w:val="0044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8A"/>
    <w:rPr>
      <w:i/>
      <w:iCs/>
      <w:color w:val="0F4761" w:themeColor="accent1" w:themeShade="BF"/>
    </w:rPr>
  </w:style>
  <w:style w:type="character" w:styleId="IntenseReference">
    <w:name w:val="Intense Reference"/>
    <w:basedOn w:val="DefaultParagraphFont"/>
    <w:uiPriority w:val="32"/>
    <w:qFormat/>
    <w:rsid w:val="0044308A"/>
    <w:rPr>
      <w:b/>
      <w:bCs/>
      <w:smallCaps/>
      <w:color w:val="0F4761" w:themeColor="accent1" w:themeShade="BF"/>
      <w:spacing w:val="5"/>
    </w:rPr>
  </w:style>
  <w:style w:type="character" w:styleId="CommentReference">
    <w:name w:val="annotation reference"/>
    <w:basedOn w:val="DefaultParagraphFont"/>
    <w:uiPriority w:val="99"/>
    <w:semiHidden/>
    <w:unhideWhenUsed/>
    <w:rsid w:val="005B19CB"/>
    <w:rPr>
      <w:sz w:val="16"/>
      <w:szCs w:val="16"/>
    </w:rPr>
  </w:style>
  <w:style w:type="paragraph" w:styleId="CommentText">
    <w:name w:val="annotation text"/>
    <w:basedOn w:val="Normal"/>
    <w:link w:val="CommentTextChar"/>
    <w:uiPriority w:val="99"/>
    <w:unhideWhenUsed/>
    <w:rsid w:val="005B19CB"/>
    <w:pPr>
      <w:spacing w:line="240" w:lineRule="auto"/>
    </w:pPr>
    <w:rPr>
      <w:sz w:val="20"/>
      <w:szCs w:val="20"/>
    </w:rPr>
  </w:style>
  <w:style w:type="character" w:customStyle="1" w:styleId="CommentTextChar">
    <w:name w:val="Comment Text Char"/>
    <w:basedOn w:val="DefaultParagraphFont"/>
    <w:link w:val="CommentText"/>
    <w:uiPriority w:val="99"/>
    <w:rsid w:val="005B19CB"/>
    <w:rPr>
      <w:sz w:val="20"/>
      <w:szCs w:val="20"/>
    </w:rPr>
  </w:style>
  <w:style w:type="paragraph" w:styleId="CommentSubject">
    <w:name w:val="annotation subject"/>
    <w:basedOn w:val="CommentText"/>
    <w:next w:val="CommentText"/>
    <w:link w:val="CommentSubjectChar"/>
    <w:uiPriority w:val="99"/>
    <w:semiHidden/>
    <w:unhideWhenUsed/>
    <w:rsid w:val="005B19CB"/>
    <w:rPr>
      <w:b/>
      <w:bCs/>
    </w:rPr>
  </w:style>
  <w:style w:type="character" w:customStyle="1" w:styleId="CommentSubjectChar">
    <w:name w:val="Comment Subject Char"/>
    <w:basedOn w:val="CommentTextChar"/>
    <w:link w:val="CommentSubject"/>
    <w:uiPriority w:val="99"/>
    <w:semiHidden/>
    <w:rsid w:val="005B1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1933">
      <w:bodyDiv w:val="1"/>
      <w:marLeft w:val="0"/>
      <w:marRight w:val="0"/>
      <w:marTop w:val="0"/>
      <w:marBottom w:val="0"/>
      <w:divBdr>
        <w:top w:val="none" w:sz="0" w:space="0" w:color="auto"/>
        <w:left w:val="none" w:sz="0" w:space="0" w:color="auto"/>
        <w:bottom w:val="none" w:sz="0" w:space="0" w:color="auto"/>
        <w:right w:val="none" w:sz="0" w:space="0" w:color="auto"/>
      </w:divBdr>
    </w:div>
    <w:div w:id="410080012">
      <w:bodyDiv w:val="1"/>
      <w:marLeft w:val="0"/>
      <w:marRight w:val="0"/>
      <w:marTop w:val="0"/>
      <w:marBottom w:val="0"/>
      <w:divBdr>
        <w:top w:val="none" w:sz="0" w:space="0" w:color="auto"/>
        <w:left w:val="none" w:sz="0" w:space="0" w:color="auto"/>
        <w:bottom w:val="none" w:sz="0" w:space="0" w:color="auto"/>
        <w:right w:val="none" w:sz="0" w:space="0" w:color="auto"/>
      </w:divBdr>
    </w:div>
    <w:div w:id="690298729">
      <w:bodyDiv w:val="1"/>
      <w:marLeft w:val="0"/>
      <w:marRight w:val="0"/>
      <w:marTop w:val="0"/>
      <w:marBottom w:val="0"/>
      <w:divBdr>
        <w:top w:val="none" w:sz="0" w:space="0" w:color="auto"/>
        <w:left w:val="none" w:sz="0" w:space="0" w:color="auto"/>
        <w:bottom w:val="none" w:sz="0" w:space="0" w:color="auto"/>
        <w:right w:val="none" w:sz="0" w:space="0" w:color="auto"/>
      </w:divBdr>
    </w:div>
    <w:div w:id="12232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2025-04-17T03:10:00Z</dcterms:modified>
</cp:coreProperties>
</file>