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Illustrative Bilateral Cooperation Agreement under Article 6.2 (SAMPLE)</w:t>
      </w:r>
    </w:p>
    <w:p>
      <w:r>
        <w:t>This is a fictional, illustrative document created for testing the Lex6 retrieval system. It does not reproduce any real agreement between States.</w:t>
      </w:r>
    </w:p>
    <w:p>
      <w:pPr>
        <w:pStyle w:val="Heading1"/>
      </w:pPr>
      <w:r>
        <w:t>Article 1 - Purpose</w:t>
      </w:r>
    </w:p>
    <w:p>
      <w:r>
        <w:t>The Parties establish a framework for cooperative approaches involving the use of internationally transferred mitigation outcomes (ITMOs) towards their nationally determined contributions, consistent with Article 6, paragraph 2, of the Paris Agreement.</w:t>
      </w:r>
    </w:p>
    <w:p>
      <w:pPr>
        <w:pStyle w:val="Heading1"/>
      </w:pPr>
      <w:r>
        <w:t>Article 2 - Additionality</w:t>
      </w:r>
    </w:p>
    <w:p>
      <w:r>
        <w:t>Mitigation activities authorised under this Agreement shall be additional. An activity is additional only if the emission reductions would not have occurred in the absence of the incentive created by the transfer of ITMOs. The host Party shall demonstrate additionality through a barrier analysis and an investment analysis, and shall exclude activities that are required by domestic law or that are already financially viable without carbon revenue.</w:t>
      </w:r>
    </w:p>
    <w:p>
      <w:pPr>
        <w:pStyle w:val="Heading1"/>
      </w:pPr>
      <w:r>
        <w:t>Article 3 - Conservative baselines</w:t>
      </w:r>
    </w:p>
    <w:p>
      <w:r>
        <w:t>Baselines shall be set in a conservative manner, below business-as-usual projections, taking into account uncertainties, policies in place and the host Party's NDC, so that the mitigation outcomes are not overestimated.</w:t>
      </w:r>
    </w:p>
    <w:p>
      <w:pPr>
        <w:pStyle w:val="Heading1"/>
      </w:pPr>
      <w:r>
        <w:t>Article 4 - Leakage</w:t>
      </w:r>
    </w:p>
    <w:p>
      <w:r>
        <w:t>The Parties shall identify, quantify and deduct any increase in emissions occurring outside the boundary of a mitigation activity (leakage). Where leakage cannot be quantified, a default deduction of ten percent of the mitigation outcomes shall apply.</w:t>
      </w:r>
    </w:p>
    <w:p>
      <w:pPr>
        <w:pStyle w:val="Heading1"/>
      </w:pPr>
      <w:r>
        <w:t>Article 5 - Corresponding adjustments and double counting</w:t>
      </w:r>
    </w:p>
    <w:p>
      <w:r>
        <w:t>The host Party shall apply corresponding adjustments for all first transfers of ITMOs in its biennial transparency reports in order to avoid double counting.</w:t>
      </w:r>
    </w:p>
    <w:p>
      <w:pPr>
        <w:pStyle w:val="Heading1"/>
      </w:pPr>
      <w:r>
        <w:t>Article 6 - Share of proceeds</w:t>
      </w:r>
    </w:p>
    <w:p>
      <w:r>
        <w:t>Each transfer shall contribute two percent of the issued ITMOs to the Adaptation Fund and cancel at least two percent to deliver an overall mitigation in global emissions.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