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AB7A0" w14:textId="77777777" w:rsidR="00F9121E" w:rsidRDefault="00F524FC">
      <w:pPr>
        <w:spacing w:before="480" w:after="80"/>
        <w:jc w:val="center"/>
      </w:pPr>
      <w:r>
        <w:rPr>
          <w:rFonts w:ascii="Calibri" w:hAnsi="Calibri"/>
          <w:b/>
          <w:color w:val="000000"/>
          <w:sz w:val="26"/>
        </w:rPr>
        <w:t>MANIPAL INSTITUTE OF TECHNOLOGY</w:t>
      </w:r>
      <w:r>
        <w:rPr>
          <w:rFonts w:ascii="Calibri" w:hAnsi="Calibri"/>
          <w:b/>
          <w:color w:val="000000"/>
          <w:sz w:val="26"/>
        </w:rPr>
        <w:br/>
        <w:t>DEPARTMENT OF COMPUTER SCIENCE</w:t>
      </w:r>
    </w:p>
    <w:p w14:paraId="4503393C" w14:textId="77777777" w:rsidR="00F9121E" w:rsidRDefault="00F524FC">
      <w:pPr>
        <w:spacing w:after="720"/>
        <w:jc w:val="center"/>
      </w:pPr>
      <w:r>
        <w:rPr>
          <w:rFonts w:ascii="Calibri" w:hAnsi="Calibri"/>
          <w:color w:val="6E6E6E"/>
          <w:sz w:val="20"/>
        </w:rPr>
        <w:t>B.Tech in Computer Science — Minor Specialization in Computational Intelligence</w:t>
      </w:r>
    </w:p>
    <w:p w14:paraId="27B790E9" w14:textId="77777777" w:rsidR="00F9121E" w:rsidRDefault="00F524FC">
      <w:pPr>
        <w:spacing w:before="240" w:after="240"/>
        <w:jc w:val="center"/>
      </w:pPr>
      <w:r>
        <w:rPr>
          <w:rFonts w:ascii="Calibri" w:hAnsi="Calibri"/>
          <w:b/>
          <w:color w:val="000000"/>
          <w:sz w:val="34"/>
        </w:rPr>
        <w:t>A Multi-Objective Evolutionary and Machine Learning</w:t>
      </w:r>
      <w:r>
        <w:rPr>
          <w:rFonts w:ascii="Calibri" w:hAnsi="Calibri"/>
          <w:b/>
          <w:color w:val="000000"/>
          <w:sz w:val="34"/>
        </w:rPr>
        <w:br/>
        <w:t>Hybrid Framework for Risk-Constrained Algorithmic Trading:</w:t>
      </w:r>
      <w:r>
        <w:rPr>
          <w:rFonts w:ascii="Calibri" w:hAnsi="Calibri"/>
          <w:b/>
          <w:color w:val="000000"/>
          <w:sz w:val="34"/>
        </w:rPr>
        <w:br/>
        <w:t>A Retrospective Walk-Forward Study on NSE Equities</w:t>
      </w:r>
    </w:p>
    <w:p w14:paraId="483EF384" w14:textId="77777777" w:rsidR="00F9121E" w:rsidRDefault="00F524FC">
      <w:pPr>
        <w:spacing w:before="480" w:after="720"/>
        <w:jc w:val="center"/>
      </w:pPr>
      <w:r>
        <w:rPr>
          <w:rFonts w:ascii="Calibri" w:hAnsi="Calibri"/>
          <w:i/>
          <w:color w:val="2D2D2D"/>
          <w:sz w:val="20"/>
        </w:rPr>
        <w:t>A Minor Specialization Capstone Project Report Submitted in Partial Fulfillment</w:t>
      </w:r>
      <w:r>
        <w:rPr>
          <w:rFonts w:ascii="Calibri" w:hAnsi="Calibri"/>
          <w:i/>
          <w:color w:val="2D2D2D"/>
          <w:sz w:val="20"/>
        </w:rPr>
        <w:br/>
        <w:t>of the Requirements for the Degree of Bachelor of Technology in Computer Science</w:t>
      </w:r>
    </w:p>
    <w:p w14:paraId="3210E3A0" w14:textId="77777777" w:rsidR="00F9121E" w:rsidRDefault="00F524FC">
      <w:pPr>
        <w:spacing w:before="240" w:after="720"/>
        <w:jc w:val="center"/>
      </w:pPr>
      <w:r>
        <w:rPr>
          <w:rFonts w:ascii="Calibri" w:hAnsi="Calibri"/>
          <w:b/>
          <w:color w:val="2D2D2D"/>
          <w:sz w:val="21"/>
        </w:rPr>
        <w:t>Submitted by:</w:t>
      </w:r>
      <w:r>
        <w:rPr>
          <w:rFonts w:ascii="Calibri" w:hAnsi="Calibri"/>
          <w:b/>
          <w:color w:val="2D2D2D"/>
          <w:sz w:val="21"/>
        </w:rPr>
        <w:br/>
      </w:r>
      <w:r>
        <w:rPr>
          <w:rFonts w:ascii="Calibri" w:hAnsi="Calibri"/>
          <w:b/>
          <w:color w:val="2D2D2D"/>
          <w:sz w:val="21"/>
        </w:rPr>
        <w:br/>
        <w:t>Ashish Ranjan</w:t>
      </w:r>
      <w:r>
        <w:rPr>
          <w:rFonts w:ascii="Calibri" w:hAnsi="Calibri"/>
          <w:b/>
          <w:color w:val="2D2D2D"/>
          <w:sz w:val="21"/>
        </w:rPr>
        <w:br/>
      </w:r>
      <w:r>
        <w:rPr>
          <w:rFonts w:ascii="Calibri" w:hAnsi="Calibri"/>
          <w:b/>
          <w:color w:val="2D2D2D"/>
          <w:sz w:val="21"/>
        </w:rPr>
        <w:t>Khuushi Maheshwari</w:t>
      </w:r>
      <w:r>
        <w:rPr>
          <w:rFonts w:ascii="Calibri" w:hAnsi="Calibri"/>
          <w:b/>
          <w:color w:val="2D2D2D"/>
          <w:sz w:val="21"/>
        </w:rPr>
        <w:br/>
        <w:t>Satyanarayan H.</w:t>
      </w:r>
      <w:r>
        <w:rPr>
          <w:rFonts w:ascii="Calibri" w:hAnsi="Calibri"/>
          <w:b/>
          <w:color w:val="2D2D2D"/>
          <w:sz w:val="21"/>
        </w:rPr>
        <w:br/>
      </w:r>
      <w:r>
        <w:rPr>
          <w:rFonts w:ascii="Calibri" w:hAnsi="Calibri"/>
          <w:b/>
          <w:color w:val="2D2D2D"/>
          <w:sz w:val="21"/>
        </w:rPr>
        <w:br/>
        <w:t>Department of Computer Science</w:t>
      </w:r>
    </w:p>
    <w:p w14:paraId="4CF92E57" w14:textId="77777777" w:rsidR="00F9121E" w:rsidRDefault="00F524FC">
      <w:pPr>
        <w:spacing w:before="240" w:after="480"/>
        <w:jc w:val="center"/>
      </w:pPr>
      <w:r>
        <w:rPr>
          <w:rFonts w:ascii="Calibri" w:hAnsi="Calibri"/>
          <w:color w:val="6E6E6E"/>
          <w:sz w:val="20"/>
        </w:rPr>
        <w:t>Project Supervisor:</w:t>
      </w:r>
      <w:r>
        <w:rPr>
          <w:rFonts w:ascii="Calibri" w:hAnsi="Calibri"/>
          <w:color w:val="6E6E6E"/>
          <w:sz w:val="20"/>
        </w:rPr>
        <w:br/>
      </w:r>
      <w:r>
        <w:rPr>
          <w:rFonts w:ascii="Calibri" w:hAnsi="Calibri"/>
          <w:color w:val="6E6E6E"/>
          <w:sz w:val="20"/>
        </w:rPr>
        <w:br/>
        <w:t>_____________________________________</w:t>
      </w:r>
      <w:r>
        <w:rPr>
          <w:rFonts w:ascii="Calibri" w:hAnsi="Calibri"/>
          <w:color w:val="6E6E6E"/>
          <w:sz w:val="20"/>
        </w:rPr>
        <w:br/>
      </w:r>
      <w:r>
        <w:rPr>
          <w:rFonts w:ascii="Calibri" w:hAnsi="Calibri"/>
          <w:color w:val="6E6E6E"/>
          <w:sz w:val="20"/>
        </w:rPr>
        <w:br/>
        <w:t>Department of Computer Science</w:t>
      </w:r>
      <w:r>
        <w:rPr>
          <w:rFonts w:ascii="Calibri" w:hAnsi="Calibri"/>
          <w:color w:val="6E6E6E"/>
          <w:sz w:val="20"/>
        </w:rPr>
        <w:br/>
        <w:t>Manipal Institute of Technology</w:t>
      </w:r>
      <w:r>
        <w:rPr>
          <w:rFonts w:ascii="Calibri" w:hAnsi="Calibri"/>
          <w:color w:val="6E6E6E"/>
          <w:sz w:val="20"/>
        </w:rPr>
        <w:br/>
        <w:t>October 2026</w:t>
      </w:r>
    </w:p>
    <w:p w14:paraId="0E73A8CF" w14:textId="77777777" w:rsidR="00F9121E" w:rsidRDefault="00F524FC">
      <w:r>
        <w:br w:type="page"/>
      </w:r>
    </w:p>
    <w:tbl>
      <w:tblPr>
        <w:tblW w:w="0" w:type="auto"/>
        <w:jc w:val="center"/>
        <w:tblLayout w:type="fixed"/>
        <w:tblLook w:val="04A0" w:firstRow="1" w:lastRow="0" w:firstColumn="1" w:lastColumn="0" w:noHBand="0" w:noVBand="1"/>
      </w:tblPr>
      <w:tblGrid>
        <w:gridCol w:w="9360"/>
      </w:tblGrid>
      <w:tr w:rsidR="00F9121E" w14:paraId="0B51FCF9" w14:textId="77777777">
        <w:trPr>
          <w:jc w:val="center"/>
        </w:trPr>
        <w:tc>
          <w:tcPr>
            <w:tcW w:w="9360" w:type="dxa"/>
            <w:tcBorders>
              <w:left w:val="single" w:sz="18" w:space="0" w:color="333333"/>
            </w:tcBorders>
            <w:shd w:val="clear" w:color="auto" w:fill="F9F9F9"/>
          </w:tcPr>
          <w:p w14:paraId="061FC194" w14:textId="77777777" w:rsidR="00F9121E" w:rsidRDefault="00F524FC">
            <w:pPr>
              <w:spacing w:before="60" w:after="60"/>
              <w:ind w:left="173" w:right="173"/>
            </w:pPr>
            <w:r>
              <w:rPr>
                <w:b/>
                <w:color w:val="000000"/>
                <w:sz w:val="18"/>
              </w:rPr>
              <w:lastRenderedPageBreak/>
              <w:t>[DRAFT SUBMISSION NOTICE]</w:t>
            </w:r>
            <w:r>
              <w:rPr>
                <w:b/>
                <w:color w:val="000000"/>
                <w:sz w:val="18"/>
              </w:rPr>
              <w:br/>
            </w:r>
            <w:r>
              <w:rPr>
                <w:color w:val="2D2D2D"/>
                <w:sz w:val="18"/>
              </w:rPr>
              <w:t>OPTIONAL DRAFT TEMPLATE (NOT CERTIFIED / UNSIGNED). The following certificate and declaration pages are uncertified draft templates provided solely for administrative review. Official institutional certification requires formal signature and departmental approval.</w:t>
            </w:r>
          </w:p>
        </w:tc>
      </w:tr>
    </w:tbl>
    <w:p w14:paraId="63628464" w14:textId="77777777" w:rsidR="00F9121E" w:rsidRDefault="00F9121E">
      <w:pPr>
        <w:spacing w:after="60"/>
      </w:pPr>
    </w:p>
    <w:p w14:paraId="557DE969" w14:textId="77777777" w:rsidR="00F9121E" w:rsidRDefault="00F524FC">
      <w:pPr>
        <w:spacing w:before="240" w:after="240"/>
        <w:jc w:val="center"/>
      </w:pPr>
      <w:r>
        <w:rPr>
          <w:rFonts w:ascii="Calibri" w:hAnsi="Calibri"/>
          <w:b/>
          <w:color w:val="000000"/>
          <w:sz w:val="26"/>
        </w:rPr>
        <w:t>CERTIFICATE OF APPROVAL</w:t>
      </w:r>
      <w:r>
        <w:rPr>
          <w:rFonts w:ascii="Calibri" w:hAnsi="Calibri"/>
          <w:b/>
          <w:color w:val="000000"/>
          <w:sz w:val="26"/>
        </w:rPr>
        <w:br/>
        <w:t>(DRAFT TEMPLATE — NOT SIGNED)</w:t>
      </w:r>
    </w:p>
    <w:p w14:paraId="5A704F5D" w14:textId="77777777" w:rsidR="00F9121E" w:rsidRDefault="00F524FC">
      <w:pPr>
        <w:spacing w:after="90"/>
      </w:pPr>
      <w:r>
        <w:rPr>
          <w:rFonts w:ascii="Calibri" w:hAnsi="Calibri"/>
          <w:color w:val="2D2D2D"/>
          <w:sz w:val="20"/>
        </w:rPr>
        <w:t xml:space="preserve">This is to certify that the Minor Specialization Capstone Project Report entitled 'A Multi-Objective Evolutionary and Machine Learning Hybrid Framework for Risk-Constrained Algorithmic Trading: A Retrospective Walk-Forward Study on NSE Equities' is a draft record of work carried out by Ashish Ranjan, Khuushi Maheshwari, and Satyanarayan H. in partial fulfillment of the requirements for the award of the degree of Bachelor of Technology in Computer Science (Minor Specialization in Computational Intelligence) </w:t>
      </w:r>
      <w:r>
        <w:rPr>
          <w:rFonts w:ascii="Calibri" w:hAnsi="Calibri"/>
          <w:color w:val="2D2D2D"/>
          <w:sz w:val="20"/>
        </w:rPr>
        <w:t>at the Manipal Institute of Technology, Manipal, during the academic year 2026.</w:t>
      </w:r>
    </w:p>
    <w:p w14:paraId="21A1840B" w14:textId="77777777" w:rsidR="00F9121E" w:rsidRDefault="00F524FC">
      <w:pPr>
        <w:spacing w:before="720" w:after="480"/>
      </w:pPr>
      <w:r>
        <w:rPr>
          <w:rFonts w:ascii="Calibri" w:hAnsi="Calibri"/>
          <w:color w:val="2D2D2D"/>
          <w:sz w:val="19"/>
        </w:rPr>
        <w:t>Project Supervisor:                                                   Head of Department:</w:t>
      </w:r>
      <w:r>
        <w:rPr>
          <w:rFonts w:ascii="Calibri" w:hAnsi="Calibri"/>
          <w:color w:val="2D2D2D"/>
          <w:sz w:val="19"/>
        </w:rPr>
        <w:br/>
      </w:r>
      <w:r>
        <w:rPr>
          <w:rFonts w:ascii="Calibri" w:hAnsi="Calibri"/>
          <w:color w:val="2D2D2D"/>
          <w:sz w:val="19"/>
        </w:rPr>
        <w:br/>
        <w:t>_______________________                                               _______________________</w:t>
      </w:r>
      <w:r>
        <w:rPr>
          <w:rFonts w:ascii="Calibri" w:hAnsi="Calibri"/>
          <w:color w:val="2D2D2D"/>
          <w:sz w:val="19"/>
        </w:rPr>
        <w:br/>
      </w:r>
      <w:r>
        <w:rPr>
          <w:rFonts w:ascii="Calibri" w:hAnsi="Calibri"/>
          <w:color w:val="2D2D2D"/>
          <w:sz w:val="19"/>
        </w:rPr>
        <w:br/>
      </w:r>
      <w:r>
        <w:rPr>
          <w:rFonts w:ascii="Calibri" w:hAnsi="Calibri"/>
          <w:color w:val="2D2D2D"/>
          <w:sz w:val="19"/>
        </w:rPr>
        <w:br/>
        <w:t>Internal Examiner:                                                    External Examiner:</w:t>
      </w:r>
      <w:r>
        <w:rPr>
          <w:rFonts w:ascii="Calibri" w:hAnsi="Calibri"/>
          <w:color w:val="2D2D2D"/>
          <w:sz w:val="19"/>
        </w:rPr>
        <w:br/>
      </w:r>
      <w:r>
        <w:rPr>
          <w:rFonts w:ascii="Calibri" w:hAnsi="Calibri"/>
          <w:color w:val="2D2D2D"/>
          <w:sz w:val="19"/>
        </w:rPr>
        <w:br/>
        <w:t>_______________________                                               _______________________</w:t>
      </w:r>
      <w:r>
        <w:rPr>
          <w:rFonts w:ascii="Calibri" w:hAnsi="Calibri"/>
          <w:color w:val="2D2D2D"/>
          <w:sz w:val="19"/>
        </w:rPr>
        <w:br/>
      </w:r>
    </w:p>
    <w:p w14:paraId="4C536AFE" w14:textId="77777777" w:rsidR="00F9121E" w:rsidRDefault="00F524FC">
      <w:r>
        <w:br w:type="page"/>
      </w:r>
    </w:p>
    <w:p w14:paraId="373C79AD" w14:textId="77777777" w:rsidR="00F9121E" w:rsidRDefault="00F524FC">
      <w:pPr>
        <w:spacing w:before="240" w:after="240"/>
        <w:jc w:val="center"/>
      </w:pPr>
      <w:r>
        <w:rPr>
          <w:rFonts w:ascii="Calibri" w:hAnsi="Calibri"/>
          <w:b/>
          <w:color w:val="000000"/>
          <w:sz w:val="26"/>
        </w:rPr>
        <w:lastRenderedPageBreak/>
        <w:t>CANDIDATES' DECLARATION</w:t>
      </w:r>
      <w:r>
        <w:rPr>
          <w:rFonts w:ascii="Calibri" w:hAnsi="Calibri"/>
          <w:b/>
          <w:color w:val="000000"/>
          <w:sz w:val="26"/>
        </w:rPr>
        <w:br/>
        <w:t>(DRAFT TEMPLATE — NOT SIGNED)</w:t>
      </w:r>
    </w:p>
    <w:p w14:paraId="2614AECD" w14:textId="77777777" w:rsidR="00F9121E" w:rsidRDefault="00F524FC">
      <w:pPr>
        <w:spacing w:after="90"/>
      </w:pPr>
      <w:r>
        <w:rPr>
          <w:rFonts w:ascii="Calibri" w:hAnsi="Calibri"/>
          <w:color w:val="2D2D2D"/>
          <w:sz w:val="20"/>
        </w:rPr>
        <w:t>We hereby declare that this project report titled 'A Multi-Objective Evolutionary and Machine Learning Hybrid Framework for Risk-Constrained Algorithmic Trading' submitted to the Department of Computer Science, Manipal Institute of Technology, represents academic project work executed by us. All literature sources, primary academic citations, and open-source computational tools used in this study have been referenced and acknowledged. We confirm that all reported experimental metrics, tables, and figures ha</w:t>
      </w:r>
      <w:r>
        <w:rPr>
          <w:rFonts w:ascii="Calibri" w:hAnsi="Calibri"/>
          <w:color w:val="2D2D2D"/>
          <w:sz w:val="20"/>
        </w:rPr>
        <w:t>ve been strictly generated from executable code and local data snapshots, without manual falsification, statistical fabrication, or plagiarism.</w:t>
      </w:r>
    </w:p>
    <w:p w14:paraId="0282B6DC" w14:textId="77777777" w:rsidR="00F9121E" w:rsidRDefault="00F524FC">
      <w:pPr>
        <w:spacing w:before="480" w:after="480"/>
      </w:pPr>
      <w:r>
        <w:rPr>
          <w:b/>
          <w:color w:val="2D2D2D"/>
          <w:sz w:val="20"/>
        </w:rPr>
        <w:t>Ashish Ranjan</w:t>
      </w:r>
      <w:r>
        <w:rPr>
          <w:b/>
          <w:color w:val="2D2D2D"/>
          <w:sz w:val="20"/>
        </w:rPr>
        <w:br/>
        <w:t>Khuushi Maheshwari</w:t>
      </w:r>
      <w:r>
        <w:rPr>
          <w:b/>
          <w:color w:val="2D2D2D"/>
          <w:sz w:val="20"/>
        </w:rPr>
        <w:br/>
        <w:t>Satyanarayan H.</w:t>
      </w:r>
      <w:r>
        <w:rPr>
          <w:b/>
          <w:color w:val="2D2D2D"/>
          <w:sz w:val="20"/>
        </w:rPr>
        <w:br/>
      </w:r>
      <w:r>
        <w:rPr>
          <w:b/>
          <w:color w:val="2D2D2D"/>
          <w:sz w:val="20"/>
        </w:rPr>
        <w:br/>
        <w:t>Department of Computer Science</w:t>
      </w:r>
      <w:r>
        <w:rPr>
          <w:b/>
          <w:color w:val="2D2D2D"/>
          <w:sz w:val="20"/>
        </w:rPr>
        <w:br/>
        <w:t>Manipal Institute of Technology, October 2026</w:t>
      </w:r>
    </w:p>
    <w:p w14:paraId="6BADB4DD" w14:textId="77777777" w:rsidR="00F9121E" w:rsidRDefault="00F524FC">
      <w:pPr>
        <w:keepNext/>
        <w:spacing w:before="280" w:after="80"/>
      </w:pPr>
      <w:r>
        <w:rPr>
          <w:rFonts w:ascii="Calibri" w:hAnsi="Calibri"/>
          <w:b/>
          <w:color w:val="000000"/>
          <w:sz w:val="24"/>
        </w:rPr>
        <w:t>ACKNOWLEDGEMENTS</w:t>
      </w:r>
    </w:p>
    <w:p w14:paraId="0200832B" w14:textId="77777777" w:rsidR="00F9121E" w:rsidRDefault="00F524FC">
      <w:pPr>
        <w:spacing w:after="90"/>
      </w:pPr>
      <w:r>
        <w:rPr>
          <w:rFonts w:ascii="Calibri" w:hAnsi="Calibri"/>
          <w:color w:val="2D2D2D"/>
          <w:sz w:val="20"/>
        </w:rPr>
        <w:t>We express our gratitude to the Department of Computer Science, Manipal Institute of Technology, for providing the academic infrastructure and computational environment required to complete this minor specialization research project. We also acknowledge the open-source scientific Python community for maintaining foundational software libraries—including LightGBM, Numba, NumPy, Pandas, Scikit-learn, and Streamlit—which made high-performance, reproducible simulation possible.</w:t>
      </w:r>
    </w:p>
    <w:p w14:paraId="68B4BCFE" w14:textId="77777777" w:rsidR="00F9121E" w:rsidRDefault="00F524FC">
      <w:r>
        <w:br w:type="page"/>
      </w:r>
    </w:p>
    <w:p w14:paraId="78C35B33" w14:textId="77777777" w:rsidR="00F9121E" w:rsidRDefault="00F524FC">
      <w:pPr>
        <w:spacing w:before="240" w:after="160"/>
        <w:jc w:val="center"/>
      </w:pPr>
      <w:r>
        <w:rPr>
          <w:b/>
          <w:color w:val="000000"/>
          <w:sz w:val="26"/>
        </w:rPr>
        <w:lastRenderedPageBreak/>
        <w:t>PROJECT ABSTRACT</w:t>
      </w:r>
    </w:p>
    <w:p w14:paraId="798EBF31" w14:textId="77777777" w:rsidR="00F9121E" w:rsidRDefault="00F524FC">
      <w:pPr>
        <w:spacing w:after="90"/>
      </w:pPr>
      <w:r>
        <w:rPr>
          <w:rFonts w:ascii="Calibri" w:hAnsi="Calibri"/>
          <w:color w:val="2D2D2D"/>
          <w:sz w:val="20"/>
        </w:rPr>
        <w:t xml:space="preserve">Modern computational intelligence systems in quantitative finance face severe real-world challenges stemming from non-stationary market regimes, low signal-to-noise ratios, and the divergence between statistical classification loss and portfolio equity dynamics. This minor specialization capstone project presents a comprehensive, reproducible Two-Tier Computational Intelligence (CI) system evaluated through a retrospective 6-year walk-forward campaign across three large-cap National Stock Exchange of India </w:t>
      </w:r>
      <w:r>
        <w:rPr>
          <w:rFonts w:ascii="Calibri" w:hAnsi="Calibri"/>
          <w:color w:val="2D2D2D"/>
          <w:sz w:val="20"/>
        </w:rPr>
        <w:t>(NSE) equities: Reliance Industries (RELIANCE.NS), Tata Consultancy Services (TCS.NS), and Infosys (INFY.NS) over 2020–2025 (1,487 trading days per asset).</w:t>
      </w:r>
    </w:p>
    <w:p w14:paraId="7449AAD1" w14:textId="77777777" w:rsidR="00F9121E" w:rsidRDefault="00F524FC">
      <w:pPr>
        <w:spacing w:after="90"/>
      </w:pPr>
      <w:r>
        <w:rPr>
          <w:rFonts w:ascii="Calibri" w:hAnsi="Calibri"/>
          <w:color w:val="2D2D2D"/>
          <w:sz w:val="20"/>
        </w:rPr>
        <w:t xml:space="preserve">In Tier 1, a LightGBM gradient-boosted decision tree is trained on 20 technical momentum, trend, volatility, and volume indicators to forecast 3-day forward directional returns with market volatility regime detection. In Tier 2, the Non-dominated Sorting Genetic Algorithm II (NSGA-II) evolves continuous trading rule chromosomes (entry/exit probability hurdles, dynamic ATR stop-loss and take-profit multipliers, trailing stops, and volatility-conditioned position sizing) to simultaneously optimize Annualized </w:t>
      </w:r>
      <w:r>
        <w:rPr>
          <w:rFonts w:ascii="Calibri" w:hAnsi="Calibri"/>
          <w:color w:val="2D2D2D"/>
          <w:sz w:val="20"/>
        </w:rPr>
        <w:t>Sharpe Ratio and Maximum Drawdown. A custom vectorized simulator enforces strict next-bar Open execution, commissions and slippage (0.05% commission + 0.05% slippage per side, approximately 10 bps per side, 20 bps round-trip; sensitivity testing doubles both components to 0.10% commission + 0.10% slippage per side, 0.20% per side, approximately 40 bps round-trip), opening gaps, conservative intrabar bracket conflict resolution, horizon purging, and scheduled fold-end liquidation barring final-day entries.</w:t>
      </w:r>
    </w:p>
    <w:p w14:paraId="492B030B" w14:textId="77777777" w:rsidR="00F9121E" w:rsidRDefault="00F524FC">
      <w:pPr>
        <w:spacing w:after="90"/>
      </w:pPr>
      <w:r>
        <w:rPr>
          <w:rFonts w:ascii="Calibri" w:hAnsi="Calibri"/>
          <w:color w:val="2D2D2D"/>
          <w:sz w:val="20"/>
        </w:rPr>
        <w:t>The empirical results provide key scientific insights: LightGBM achieves an average out-of-sample directional AUC of 0.5324, a test accuracy of 52.68% (vs training-class base rate 52.66%), and no Brier score improvement (0.2501 vs baseline 0.2500). The Full Hybrid strategy dampens annual maximum drawdown in 17 out of 18 folds (94.4%). However, by remaining defensively in cash during sustained expansions, the Hybrid underperforms Buy &amp; Hold in 13 out of 18 folds (72.2%), compounding 6-year seed-median return</w:t>
      </w:r>
      <w:r>
        <w:rPr>
          <w:rFonts w:ascii="Calibri" w:hAnsi="Calibri"/>
          <w:color w:val="2D2D2D"/>
          <w:sz w:val="20"/>
        </w:rPr>
        <w:t>s of -0.35% (RELIANCE.NS), +25.60% (TCS.NS), and +9.10% (INFY.NS), compared to Buy &amp; Hold compound growth of +128.74%, +65.13%, and +152.78%, respectively. An evolutionary ablation without ML signals yields comparable or higher returns. These findings document the substantial opportunity costs of defensive capital allocation and establish the necessity of reproducible, causal simulation in financial AI.</w:t>
      </w:r>
    </w:p>
    <w:p w14:paraId="1220A539" w14:textId="77777777" w:rsidR="00F9121E" w:rsidRDefault="00F524FC">
      <w:r>
        <w:br w:type="page"/>
      </w:r>
    </w:p>
    <w:p w14:paraId="096F4896" w14:textId="77777777" w:rsidR="00F9121E" w:rsidRDefault="00F524FC">
      <w:pPr>
        <w:keepNext/>
        <w:spacing w:before="280" w:after="80"/>
      </w:pPr>
      <w:r>
        <w:rPr>
          <w:rFonts w:ascii="Calibri" w:hAnsi="Calibri"/>
          <w:b/>
          <w:color w:val="000000"/>
          <w:sz w:val="24"/>
        </w:rPr>
        <w:lastRenderedPageBreak/>
        <w:t>TABLE OF CONTENTS</w:t>
      </w:r>
    </w:p>
    <w:p w14:paraId="45120498" w14:textId="634B9C70" w:rsidR="00934BBC" w:rsidRDefault="00F524FC">
      <w:pPr>
        <w:pStyle w:val="TOC1"/>
        <w:tabs>
          <w:tab w:val="right" w:leader="dot" w:pos="9350"/>
        </w:tabs>
        <w:rPr>
          <w:noProof/>
        </w:rPr>
      </w:pPr>
      <w:r>
        <w:fldChar w:fldCharType="begin"/>
      </w:r>
      <w:r>
        <w:instrText>TOC \o "1-1" \h \z \u</w:instrText>
      </w:r>
      <w:r>
        <w:fldChar w:fldCharType="separate"/>
      </w:r>
      <w:hyperlink w:anchor="_Toc242739347" w:history="1">
        <w:r w:rsidR="00934BBC" w:rsidRPr="008F5BC6">
          <w:rPr>
            <w:rStyle w:val="Hyperlink"/>
            <w:rFonts w:ascii="Calibri" w:hAnsi="Calibri"/>
            <w:noProof/>
          </w:rPr>
          <w:t>CHAPTER 1 Introduction &amp; Problem Definition</w:t>
        </w:r>
        <w:r w:rsidR="00934BBC">
          <w:rPr>
            <w:noProof/>
            <w:webHidden/>
          </w:rPr>
          <w:tab/>
        </w:r>
        <w:r w:rsidR="00934BBC">
          <w:rPr>
            <w:noProof/>
            <w:webHidden/>
          </w:rPr>
          <w:fldChar w:fldCharType="begin"/>
        </w:r>
        <w:r w:rsidR="00934BBC">
          <w:rPr>
            <w:noProof/>
            <w:webHidden/>
          </w:rPr>
          <w:instrText xml:space="preserve"> PAGEREF _Toc242739347 \h </w:instrText>
        </w:r>
        <w:r w:rsidR="00934BBC">
          <w:rPr>
            <w:noProof/>
            <w:webHidden/>
          </w:rPr>
        </w:r>
        <w:r w:rsidR="00934BBC">
          <w:rPr>
            <w:noProof/>
            <w:webHidden/>
          </w:rPr>
          <w:fldChar w:fldCharType="separate"/>
        </w:r>
        <w:r w:rsidR="00934BBC">
          <w:rPr>
            <w:noProof/>
            <w:webHidden/>
          </w:rPr>
          <w:t>6</w:t>
        </w:r>
        <w:r w:rsidR="00934BBC">
          <w:rPr>
            <w:noProof/>
            <w:webHidden/>
          </w:rPr>
          <w:fldChar w:fldCharType="end"/>
        </w:r>
      </w:hyperlink>
    </w:p>
    <w:p w14:paraId="5F471189" w14:textId="0A06E55D" w:rsidR="00934BBC" w:rsidRDefault="00934BBC">
      <w:pPr>
        <w:pStyle w:val="TOC1"/>
        <w:tabs>
          <w:tab w:val="right" w:leader="dot" w:pos="9350"/>
        </w:tabs>
        <w:rPr>
          <w:noProof/>
        </w:rPr>
      </w:pPr>
      <w:hyperlink w:anchor="_Toc242739348" w:history="1">
        <w:r w:rsidRPr="008F5BC6">
          <w:rPr>
            <w:rStyle w:val="Hyperlink"/>
            <w:rFonts w:ascii="Calibri" w:hAnsi="Calibri"/>
            <w:noProof/>
          </w:rPr>
          <w:t>CHAPTER 2 Literature Review &amp; Theoretical Foundations</w:t>
        </w:r>
        <w:r>
          <w:rPr>
            <w:noProof/>
            <w:webHidden/>
          </w:rPr>
          <w:tab/>
        </w:r>
        <w:r>
          <w:rPr>
            <w:noProof/>
            <w:webHidden/>
          </w:rPr>
          <w:fldChar w:fldCharType="begin"/>
        </w:r>
        <w:r>
          <w:rPr>
            <w:noProof/>
            <w:webHidden/>
          </w:rPr>
          <w:instrText xml:space="preserve"> PAGEREF _Toc242739348 \h </w:instrText>
        </w:r>
        <w:r>
          <w:rPr>
            <w:noProof/>
            <w:webHidden/>
          </w:rPr>
        </w:r>
        <w:r>
          <w:rPr>
            <w:noProof/>
            <w:webHidden/>
          </w:rPr>
          <w:fldChar w:fldCharType="separate"/>
        </w:r>
        <w:r>
          <w:rPr>
            <w:noProof/>
            <w:webHidden/>
          </w:rPr>
          <w:t>6</w:t>
        </w:r>
        <w:r>
          <w:rPr>
            <w:noProof/>
            <w:webHidden/>
          </w:rPr>
          <w:fldChar w:fldCharType="end"/>
        </w:r>
      </w:hyperlink>
    </w:p>
    <w:p w14:paraId="44789833" w14:textId="37295A44" w:rsidR="00934BBC" w:rsidRDefault="00934BBC">
      <w:pPr>
        <w:pStyle w:val="TOC1"/>
        <w:tabs>
          <w:tab w:val="right" w:leader="dot" w:pos="9350"/>
        </w:tabs>
        <w:rPr>
          <w:noProof/>
        </w:rPr>
      </w:pPr>
      <w:hyperlink w:anchor="_Toc242739349" w:history="1">
        <w:r w:rsidRPr="008F5BC6">
          <w:rPr>
            <w:rStyle w:val="Hyperlink"/>
            <w:rFonts w:ascii="Calibri" w:hAnsi="Calibri"/>
            <w:noProof/>
          </w:rPr>
          <w:t>CHAPTER 3 System Architecture &amp; Mathematical Formulation</w:t>
        </w:r>
        <w:r>
          <w:rPr>
            <w:noProof/>
            <w:webHidden/>
          </w:rPr>
          <w:tab/>
        </w:r>
        <w:r>
          <w:rPr>
            <w:noProof/>
            <w:webHidden/>
          </w:rPr>
          <w:fldChar w:fldCharType="begin"/>
        </w:r>
        <w:r>
          <w:rPr>
            <w:noProof/>
            <w:webHidden/>
          </w:rPr>
          <w:instrText xml:space="preserve"> PAGEREF _Toc242739349 \h </w:instrText>
        </w:r>
        <w:r>
          <w:rPr>
            <w:noProof/>
            <w:webHidden/>
          </w:rPr>
        </w:r>
        <w:r>
          <w:rPr>
            <w:noProof/>
            <w:webHidden/>
          </w:rPr>
          <w:fldChar w:fldCharType="separate"/>
        </w:r>
        <w:r>
          <w:rPr>
            <w:noProof/>
            <w:webHidden/>
          </w:rPr>
          <w:t>7</w:t>
        </w:r>
        <w:r>
          <w:rPr>
            <w:noProof/>
            <w:webHidden/>
          </w:rPr>
          <w:fldChar w:fldCharType="end"/>
        </w:r>
      </w:hyperlink>
    </w:p>
    <w:p w14:paraId="6173B7CA" w14:textId="59B81FBF" w:rsidR="00934BBC" w:rsidRDefault="00934BBC">
      <w:pPr>
        <w:pStyle w:val="TOC1"/>
        <w:tabs>
          <w:tab w:val="right" w:leader="dot" w:pos="9350"/>
        </w:tabs>
        <w:rPr>
          <w:noProof/>
        </w:rPr>
      </w:pPr>
      <w:hyperlink w:anchor="_Toc242739350" w:history="1">
        <w:r w:rsidRPr="008F5BC6">
          <w:rPr>
            <w:rStyle w:val="Hyperlink"/>
            <w:rFonts w:ascii="Calibri" w:hAnsi="Calibri"/>
            <w:noProof/>
          </w:rPr>
          <w:t>CHAPTER 4 Data Engineering &amp; Walk-Forward Protocol</w:t>
        </w:r>
        <w:r>
          <w:rPr>
            <w:noProof/>
            <w:webHidden/>
          </w:rPr>
          <w:tab/>
        </w:r>
        <w:r>
          <w:rPr>
            <w:noProof/>
            <w:webHidden/>
          </w:rPr>
          <w:fldChar w:fldCharType="begin"/>
        </w:r>
        <w:r>
          <w:rPr>
            <w:noProof/>
            <w:webHidden/>
          </w:rPr>
          <w:instrText xml:space="preserve"> PAGEREF _Toc242739350 \h </w:instrText>
        </w:r>
        <w:r>
          <w:rPr>
            <w:noProof/>
            <w:webHidden/>
          </w:rPr>
        </w:r>
        <w:r>
          <w:rPr>
            <w:noProof/>
            <w:webHidden/>
          </w:rPr>
          <w:fldChar w:fldCharType="separate"/>
        </w:r>
        <w:r>
          <w:rPr>
            <w:noProof/>
            <w:webHidden/>
          </w:rPr>
          <w:t>8</w:t>
        </w:r>
        <w:r>
          <w:rPr>
            <w:noProof/>
            <w:webHidden/>
          </w:rPr>
          <w:fldChar w:fldCharType="end"/>
        </w:r>
      </w:hyperlink>
    </w:p>
    <w:p w14:paraId="2F5EA35D" w14:textId="24199D07" w:rsidR="00934BBC" w:rsidRDefault="00934BBC">
      <w:pPr>
        <w:pStyle w:val="TOC1"/>
        <w:tabs>
          <w:tab w:val="right" w:leader="dot" w:pos="9350"/>
        </w:tabs>
        <w:rPr>
          <w:noProof/>
        </w:rPr>
      </w:pPr>
      <w:hyperlink w:anchor="_Toc242739351" w:history="1">
        <w:r w:rsidRPr="008F5BC6">
          <w:rPr>
            <w:rStyle w:val="Hyperlink"/>
            <w:rFonts w:ascii="Calibri" w:hAnsi="Calibri"/>
            <w:noProof/>
          </w:rPr>
          <w:t>CHAPTER 5 High-Performance Vectorized Simulator Mechanics</w:t>
        </w:r>
        <w:r>
          <w:rPr>
            <w:noProof/>
            <w:webHidden/>
          </w:rPr>
          <w:tab/>
        </w:r>
        <w:r>
          <w:rPr>
            <w:noProof/>
            <w:webHidden/>
          </w:rPr>
          <w:fldChar w:fldCharType="begin"/>
        </w:r>
        <w:r>
          <w:rPr>
            <w:noProof/>
            <w:webHidden/>
          </w:rPr>
          <w:instrText xml:space="preserve"> PAGEREF _Toc242739351 \h </w:instrText>
        </w:r>
        <w:r>
          <w:rPr>
            <w:noProof/>
            <w:webHidden/>
          </w:rPr>
        </w:r>
        <w:r>
          <w:rPr>
            <w:noProof/>
            <w:webHidden/>
          </w:rPr>
          <w:fldChar w:fldCharType="separate"/>
        </w:r>
        <w:r>
          <w:rPr>
            <w:noProof/>
            <w:webHidden/>
          </w:rPr>
          <w:t>9</w:t>
        </w:r>
        <w:r>
          <w:rPr>
            <w:noProof/>
            <w:webHidden/>
          </w:rPr>
          <w:fldChar w:fldCharType="end"/>
        </w:r>
      </w:hyperlink>
    </w:p>
    <w:p w14:paraId="5CADFE9A" w14:textId="5F212483" w:rsidR="00934BBC" w:rsidRDefault="00934BBC">
      <w:pPr>
        <w:pStyle w:val="TOC1"/>
        <w:tabs>
          <w:tab w:val="right" w:leader="dot" w:pos="9350"/>
        </w:tabs>
        <w:rPr>
          <w:noProof/>
        </w:rPr>
      </w:pPr>
      <w:hyperlink w:anchor="_Toc242739352" w:history="1">
        <w:r w:rsidRPr="008F5BC6">
          <w:rPr>
            <w:rStyle w:val="Hyperlink"/>
            <w:rFonts w:ascii="Calibri" w:hAnsi="Calibri"/>
            <w:noProof/>
          </w:rPr>
          <w:t>CHAPTER 6 Empirical Results &amp; Comparative Evaluation</w:t>
        </w:r>
        <w:r>
          <w:rPr>
            <w:noProof/>
            <w:webHidden/>
          </w:rPr>
          <w:tab/>
        </w:r>
        <w:r>
          <w:rPr>
            <w:noProof/>
            <w:webHidden/>
          </w:rPr>
          <w:fldChar w:fldCharType="begin"/>
        </w:r>
        <w:r>
          <w:rPr>
            <w:noProof/>
            <w:webHidden/>
          </w:rPr>
          <w:instrText xml:space="preserve"> PAGEREF _Toc242739352 \h </w:instrText>
        </w:r>
        <w:r>
          <w:rPr>
            <w:noProof/>
            <w:webHidden/>
          </w:rPr>
        </w:r>
        <w:r>
          <w:rPr>
            <w:noProof/>
            <w:webHidden/>
          </w:rPr>
          <w:fldChar w:fldCharType="separate"/>
        </w:r>
        <w:r>
          <w:rPr>
            <w:noProof/>
            <w:webHidden/>
          </w:rPr>
          <w:t>9</w:t>
        </w:r>
        <w:r>
          <w:rPr>
            <w:noProof/>
            <w:webHidden/>
          </w:rPr>
          <w:fldChar w:fldCharType="end"/>
        </w:r>
      </w:hyperlink>
    </w:p>
    <w:p w14:paraId="1A0D2F4B" w14:textId="4D189CE2" w:rsidR="00934BBC" w:rsidRDefault="00934BBC">
      <w:pPr>
        <w:pStyle w:val="TOC1"/>
        <w:tabs>
          <w:tab w:val="right" w:leader="dot" w:pos="9350"/>
        </w:tabs>
        <w:rPr>
          <w:noProof/>
        </w:rPr>
      </w:pPr>
      <w:hyperlink w:anchor="_Toc242739353" w:history="1">
        <w:r w:rsidRPr="008F5BC6">
          <w:rPr>
            <w:rStyle w:val="Hyperlink"/>
            <w:rFonts w:ascii="Calibri" w:hAnsi="Calibri"/>
            <w:noProof/>
          </w:rPr>
          <w:t>CHAPTER 7 Automated Verification, Unit Testing &amp; Reproducibility</w:t>
        </w:r>
        <w:r>
          <w:rPr>
            <w:noProof/>
            <w:webHidden/>
          </w:rPr>
          <w:tab/>
        </w:r>
        <w:r>
          <w:rPr>
            <w:noProof/>
            <w:webHidden/>
          </w:rPr>
          <w:fldChar w:fldCharType="begin"/>
        </w:r>
        <w:r>
          <w:rPr>
            <w:noProof/>
            <w:webHidden/>
          </w:rPr>
          <w:instrText xml:space="preserve"> PAGEREF _Toc242739353 \h </w:instrText>
        </w:r>
        <w:r>
          <w:rPr>
            <w:noProof/>
            <w:webHidden/>
          </w:rPr>
        </w:r>
        <w:r>
          <w:rPr>
            <w:noProof/>
            <w:webHidden/>
          </w:rPr>
          <w:fldChar w:fldCharType="separate"/>
        </w:r>
        <w:r>
          <w:rPr>
            <w:noProof/>
            <w:webHidden/>
          </w:rPr>
          <w:t>13</w:t>
        </w:r>
        <w:r>
          <w:rPr>
            <w:noProof/>
            <w:webHidden/>
          </w:rPr>
          <w:fldChar w:fldCharType="end"/>
        </w:r>
      </w:hyperlink>
    </w:p>
    <w:p w14:paraId="06DBFF74" w14:textId="01170EA2" w:rsidR="00934BBC" w:rsidRDefault="00934BBC">
      <w:pPr>
        <w:pStyle w:val="TOC1"/>
        <w:tabs>
          <w:tab w:val="right" w:leader="dot" w:pos="9350"/>
        </w:tabs>
        <w:rPr>
          <w:noProof/>
        </w:rPr>
      </w:pPr>
      <w:hyperlink w:anchor="_Toc242739354" w:history="1">
        <w:r w:rsidRPr="008F5BC6">
          <w:rPr>
            <w:rStyle w:val="Hyperlink"/>
            <w:rFonts w:ascii="Calibri" w:hAnsi="Calibri"/>
            <w:noProof/>
          </w:rPr>
          <w:t>CHAPTER 8 Methodological Limitations &amp; Research Boundaries</w:t>
        </w:r>
        <w:r>
          <w:rPr>
            <w:noProof/>
            <w:webHidden/>
          </w:rPr>
          <w:tab/>
        </w:r>
        <w:r>
          <w:rPr>
            <w:noProof/>
            <w:webHidden/>
          </w:rPr>
          <w:fldChar w:fldCharType="begin"/>
        </w:r>
        <w:r>
          <w:rPr>
            <w:noProof/>
            <w:webHidden/>
          </w:rPr>
          <w:instrText xml:space="preserve"> PAGEREF _Toc242739354 \h </w:instrText>
        </w:r>
        <w:r>
          <w:rPr>
            <w:noProof/>
            <w:webHidden/>
          </w:rPr>
        </w:r>
        <w:r>
          <w:rPr>
            <w:noProof/>
            <w:webHidden/>
          </w:rPr>
          <w:fldChar w:fldCharType="separate"/>
        </w:r>
        <w:r>
          <w:rPr>
            <w:noProof/>
            <w:webHidden/>
          </w:rPr>
          <w:t>13</w:t>
        </w:r>
        <w:r>
          <w:rPr>
            <w:noProof/>
            <w:webHidden/>
          </w:rPr>
          <w:fldChar w:fldCharType="end"/>
        </w:r>
      </w:hyperlink>
    </w:p>
    <w:p w14:paraId="40E3C940" w14:textId="46E91A21" w:rsidR="00934BBC" w:rsidRDefault="00934BBC">
      <w:pPr>
        <w:pStyle w:val="TOC1"/>
        <w:tabs>
          <w:tab w:val="right" w:leader="dot" w:pos="9350"/>
        </w:tabs>
        <w:rPr>
          <w:noProof/>
        </w:rPr>
      </w:pPr>
      <w:hyperlink w:anchor="_Toc242739355" w:history="1">
        <w:r w:rsidRPr="008F5BC6">
          <w:rPr>
            <w:rStyle w:val="Hyperlink"/>
            <w:rFonts w:ascii="Calibri" w:hAnsi="Calibri"/>
            <w:noProof/>
          </w:rPr>
          <w:t>CHAPTER 9 Conclusion &amp; Future Directions</w:t>
        </w:r>
        <w:r>
          <w:rPr>
            <w:noProof/>
            <w:webHidden/>
          </w:rPr>
          <w:tab/>
        </w:r>
        <w:r>
          <w:rPr>
            <w:noProof/>
            <w:webHidden/>
          </w:rPr>
          <w:fldChar w:fldCharType="begin"/>
        </w:r>
        <w:r>
          <w:rPr>
            <w:noProof/>
            <w:webHidden/>
          </w:rPr>
          <w:instrText xml:space="preserve"> PAGEREF _Toc242739355 \h </w:instrText>
        </w:r>
        <w:r>
          <w:rPr>
            <w:noProof/>
            <w:webHidden/>
          </w:rPr>
        </w:r>
        <w:r>
          <w:rPr>
            <w:noProof/>
            <w:webHidden/>
          </w:rPr>
          <w:fldChar w:fldCharType="separate"/>
        </w:r>
        <w:r>
          <w:rPr>
            <w:noProof/>
            <w:webHidden/>
          </w:rPr>
          <w:t>14</w:t>
        </w:r>
        <w:r>
          <w:rPr>
            <w:noProof/>
            <w:webHidden/>
          </w:rPr>
          <w:fldChar w:fldCharType="end"/>
        </w:r>
      </w:hyperlink>
    </w:p>
    <w:p w14:paraId="7DAC7A5B" w14:textId="3F6D0627" w:rsidR="00934BBC" w:rsidRDefault="00934BBC">
      <w:pPr>
        <w:pStyle w:val="TOC1"/>
        <w:tabs>
          <w:tab w:val="right" w:leader="dot" w:pos="9350"/>
        </w:tabs>
        <w:rPr>
          <w:noProof/>
        </w:rPr>
      </w:pPr>
      <w:hyperlink w:anchor="_Toc242739356" w:history="1">
        <w:r w:rsidRPr="008F5BC6">
          <w:rPr>
            <w:rStyle w:val="Hyperlink"/>
            <w:rFonts w:ascii="Calibri" w:hAnsi="Calibri"/>
            <w:noProof/>
          </w:rPr>
          <w:t>REFERENCES</w:t>
        </w:r>
        <w:r>
          <w:rPr>
            <w:noProof/>
            <w:webHidden/>
          </w:rPr>
          <w:tab/>
        </w:r>
        <w:r>
          <w:rPr>
            <w:noProof/>
            <w:webHidden/>
          </w:rPr>
          <w:fldChar w:fldCharType="begin"/>
        </w:r>
        <w:r>
          <w:rPr>
            <w:noProof/>
            <w:webHidden/>
          </w:rPr>
          <w:instrText xml:space="preserve"> PAGEREF _Toc242739356 \h </w:instrText>
        </w:r>
        <w:r>
          <w:rPr>
            <w:noProof/>
            <w:webHidden/>
          </w:rPr>
        </w:r>
        <w:r>
          <w:rPr>
            <w:noProof/>
            <w:webHidden/>
          </w:rPr>
          <w:fldChar w:fldCharType="separate"/>
        </w:r>
        <w:r>
          <w:rPr>
            <w:noProof/>
            <w:webHidden/>
          </w:rPr>
          <w:t>14</w:t>
        </w:r>
        <w:r>
          <w:rPr>
            <w:noProof/>
            <w:webHidden/>
          </w:rPr>
          <w:fldChar w:fldCharType="end"/>
        </w:r>
      </w:hyperlink>
    </w:p>
    <w:p w14:paraId="0D4063E8" w14:textId="5CDEFAA8" w:rsidR="00F9121E" w:rsidRDefault="00F524FC">
      <w:r>
        <w:fldChar w:fldCharType="end"/>
      </w:r>
    </w:p>
    <w:p w14:paraId="7A4584B5" w14:textId="77777777" w:rsidR="00F9121E" w:rsidRDefault="00F524FC">
      <w:r>
        <w:br w:type="page"/>
      </w:r>
    </w:p>
    <w:p w14:paraId="58011441" w14:textId="77777777" w:rsidR="00F9121E" w:rsidRDefault="00F524FC">
      <w:pPr>
        <w:pStyle w:val="Heading1"/>
        <w:spacing w:before="360" w:after="120"/>
      </w:pPr>
      <w:bookmarkStart w:id="0" w:name="_Toc242739347"/>
      <w:r>
        <w:rPr>
          <w:rFonts w:ascii="Calibri" w:hAnsi="Calibri"/>
          <w:color w:val="000000"/>
          <w:sz w:val="24"/>
        </w:rPr>
        <w:lastRenderedPageBreak/>
        <w:t>CHAPTER 1</w:t>
      </w:r>
      <w:r>
        <w:rPr>
          <w:rFonts w:ascii="Calibri" w:hAnsi="Calibri"/>
          <w:color w:val="000000"/>
          <w:sz w:val="24"/>
        </w:rPr>
        <w:br/>
      </w:r>
      <w:r>
        <w:rPr>
          <w:rFonts w:ascii="Calibri" w:hAnsi="Calibri"/>
          <w:color w:val="000000"/>
          <w:sz w:val="30"/>
        </w:rPr>
        <w:t>Introduction &amp; Problem Definition</w:t>
      </w:r>
      <w:bookmarkEnd w:id="0"/>
    </w:p>
    <w:p w14:paraId="3C72EF3C" w14:textId="77777777" w:rsidR="00F9121E" w:rsidRDefault="00F524FC">
      <w:pPr>
        <w:pStyle w:val="Heading2"/>
        <w:spacing w:before="240" w:after="80"/>
      </w:pPr>
      <w:r>
        <w:rPr>
          <w:rFonts w:ascii="Calibri" w:hAnsi="Calibri"/>
          <w:color w:val="000000"/>
          <w:sz w:val="23"/>
        </w:rPr>
        <w:t>1.1 Background &amp; Motivation</w:t>
      </w:r>
    </w:p>
    <w:p w14:paraId="2050A0AC" w14:textId="77777777" w:rsidR="00F9121E" w:rsidRDefault="00F524FC">
      <w:pPr>
        <w:spacing w:after="90"/>
      </w:pPr>
      <w:r>
        <w:rPr>
          <w:rFonts w:ascii="Calibri" w:hAnsi="Calibri"/>
          <w:color w:val="2D2D2D"/>
          <w:sz w:val="20"/>
        </w:rPr>
        <w:t>Financial market forecasting represents one of the most intellectually challenging domains in computational intelligence. Unlike computer vision or speech recognition where underlying data-generating distributions remain stationary over time, financial time-series are characterized by time-varying dynamics, extreme noise, structural regime shifts, and reflexive feedback loops [1], [5]. A common pitfall in applied computer science projects is treating stock trading as a pure supervised regression or classifi</w:t>
      </w:r>
      <w:r>
        <w:rPr>
          <w:rFonts w:ascii="Calibri" w:hAnsi="Calibri"/>
          <w:color w:val="2D2D2D"/>
          <w:sz w:val="20"/>
        </w:rPr>
        <w:t>cation problem. Directional accuracy alone does not determine portfolio profitability because trade payoff distributions, position sizing, stop-loss mechanics, and transaction friction also matter [3].</w:t>
      </w:r>
    </w:p>
    <w:p w14:paraId="5030B216" w14:textId="77777777" w:rsidR="00F9121E" w:rsidRDefault="00F524FC">
      <w:pPr>
        <w:spacing w:after="90"/>
      </w:pPr>
      <w:r>
        <w:rPr>
          <w:rFonts w:ascii="Calibri" w:hAnsi="Calibri"/>
          <w:color w:val="2D2D2D"/>
          <w:sz w:val="20"/>
        </w:rPr>
        <w:t>Conversely, pure rule-based algorithmic trading strategies rely on static technical indicators that suffer catastrophic drawdowns during macroeconomic shocks. What is required is a dual architecture: statistical machine learning to extract subtle probabilistic edges from high-dimensional indicators, coupled with multi-objective metaheuristics to evolve dynamic risk-management policies that directly optimize the portfolio equity trajectory.</w:t>
      </w:r>
    </w:p>
    <w:p w14:paraId="772CDA65" w14:textId="77777777" w:rsidR="00F9121E" w:rsidRDefault="00F524FC">
      <w:pPr>
        <w:pStyle w:val="Heading2"/>
        <w:spacing w:before="240" w:after="80"/>
      </w:pPr>
      <w:r>
        <w:rPr>
          <w:rFonts w:ascii="Calibri" w:hAnsi="Calibri"/>
          <w:color w:val="000000"/>
          <w:sz w:val="23"/>
        </w:rPr>
        <w:t>1.2 Objectives of the Capstone Study</w:t>
      </w:r>
    </w:p>
    <w:p w14:paraId="0EC33DD2" w14:textId="77777777" w:rsidR="00F9121E" w:rsidRDefault="00F524FC">
      <w:pPr>
        <w:spacing w:after="90"/>
      </w:pPr>
      <w:r>
        <w:rPr>
          <w:rFonts w:ascii="Calibri" w:hAnsi="Calibri"/>
          <w:color w:val="2D2D2D"/>
          <w:sz w:val="20"/>
        </w:rPr>
        <w:t>This project pursues four core engineering and scientific objectives: (1) Build an auditable feature engineering pipeline extracting 20 momentum, trend, volatility, and volume indicators alongside an expanding-window volatility regime detector; (2) Implement a LightGBM gradient-boosted classifier to estimate forward 3-day directional probabilities with validation early stopping; (3) Implement an NSGA-II multi-objective genetic algorithm that evolves 7-dimensional real-valued chromosomes optimizing Annualize</w:t>
      </w:r>
      <w:r>
        <w:rPr>
          <w:rFonts w:ascii="Calibri" w:hAnsi="Calibri"/>
          <w:color w:val="2D2D2D"/>
          <w:sz w:val="20"/>
        </w:rPr>
        <w:t>d Sharpe Ratio and Maximum Drawdown; (4) Execute a rigorous retrospective walk-forward evaluation across six annual folds (2020–2025) on three NSE equities (RELIANCE.NS, TCS.NS, INFY.NS) with complete offline reproducibility, transaction costs, and horizon purging.</w:t>
      </w:r>
    </w:p>
    <w:p w14:paraId="73274EC5" w14:textId="77777777" w:rsidR="00F9121E" w:rsidRDefault="00F524FC">
      <w:pPr>
        <w:pStyle w:val="Heading1"/>
        <w:spacing w:before="360" w:after="120"/>
      </w:pPr>
      <w:bookmarkStart w:id="1" w:name="_Toc242739348"/>
      <w:r>
        <w:rPr>
          <w:rFonts w:ascii="Calibri" w:hAnsi="Calibri"/>
          <w:color w:val="000000"/>
          <w:sz w:val="24"/>
        </w:rPr>
        <w:t>CHAPTER 2</w:t>
      </w:r>
      <w:r>
        <w:rPr>
          <w:rFonts w:ascii="Calibri" w:hAnsi="Calibri"/>
          <w:color w:val="000000"/>
          <w:sz w:val="24"/>
        </w:rPr>
        <w:br/>
      </w:r>
      <w:r>
        <w:rPr>
          <w:rFonts w:ascii="Calibri" w:hAnsi="Calibri"/>
          <w:color w:val="000000"/>
          <w:sz w:val="30"/>
        </w:rPr>
        <w:t>Literature Review &amp; Theoretical Foundations</w:t>
      </w:r>
      <w:bookmarkEnd w:id="1"/>
    </w:p>
    <w:p w14:paraId="4605BF39" w14:textId="77777777" w:rsidR="00F9121E" w:rsidRDefault="00F524FC">
      <w:pPr>
        <w:pStyle w:val="Heading2"/>
        <w:spacing w:before="240" w:after="80"/>
      </w:pPr>
      <w:r>
        <w:rPr>
          <w:rFonts w:ascii="Calibri" w:hAnsi="Calibri"/>
          <w:color w:val="000000"/>
          <w:sz w:val="23"/>
        </w:rPr>
        <w:t>2.1 Market Efficiency &amp; Technical Predictability</w:t>
      </w:r>
    </w:p>
    <w:p w14:paraId="6585B7A9" w14:textId="77777777" w:rsidR="00F9121E" w:rsidRDefault="00F524FC">
      <w:pPr>
        <w:spacing w:after="90"/>
      </w:pPr>
      <w:r>
        <w:rPr>
          <w:rFonts w:ascii="Calibri" w:hAnsi="Calibri"/>
          <w:color w:val="2D2D2D"/>
          <w:sz w:val="20"/>
        </w:rPr>
        <w:t>The theoretical foundation of market predictability is rooted in Eugene Fama's Efficient Market Hypothesis (EMH) [6]. Under the weak-form EMH, current asset prices fully reflect all information contained in historical trading data. Consequently, technical analysis rules cannot consistently generate risk-adjusted excess returns (alpha) net of transaction costs. In modern econometric literature, Halbert White [5] demonstrated that apparent historical outperformance is frequently an artifact of data snooping b</w:t>
      </w:r>
      <w:r>
        <w:rPr>
          <w:rFonts w:ascii="Calibri" w:hAnsi="Calibri"/>
          <w:color w:val="2D2D2D"/>
          <w:sz w:val="20"/>
        </w:rPr>
        <w:t>ias: when researchers evaluate thousands of rule combinations, the best-performing rule often reflects luck rather than predictive skill. Bailey and López de Prado [4] formalized this phenomenon through the Deflated Sharpe Ratio (DSR), which statistically adjusts observed performance for selection bias and non-normal return distributions.</w:t>
      </w:r>
    </w:p>
    <w:p w14:paraId="55E3B2F3" w14:textId="77777777" w:rsidR="00F9121E" w:rsidRDefault="00F524FC">
      <w:pPr>
        <w:pStyle w:val="Heading2"/>
        <w:spacing w:before="240" w:after="80"/>
      </w:pPr>
      <w:r>
        <w:rPr>
          <w:rFonts w:ascii="Calibri" w:hAnsi="Calibri"/>
          <w:color w:val="000000"/>
          <w:sz w:val="23"/>
        </w:rPr>
        <w:t>2.2 Purging, Embargoing &amp; Causal Simulation Integrity</w:t>
      </w:r>
    </w:p>
    <w:p w14:paraId="1B54E4FA" w14:textId="77777777" w:rsidR="00F9121E" w:rsidRDefault="00F524FC">
      <w:pPr>
        <w:spacing w:after="90"/>
      </w:pPr>
      <w:r>
        <w:rPr>
          <w:rFonts w:ascii="Calibri" w:hAnsi="Calibri"/>
          <w:color w:val="2D2D2D"/>
          <w:sz w:val="20"/>
        </w:rPr>
        <w:t xml:space="preserve">In Advances in Financial Machine Learning, Marcos López de Prado [3] identified temporal leakage as the primary reason why financial machine learning models collapse when deployed out-of-sample. When multi-day forward targets are assigned to daily bars, consecutive samples share overlapping information. Traditional random k-fold </w:t>
      </w:r>
      <w:r>
        <w:rPr>
          <w:rFonts w:ascii="Calibri" w:hAnsi="Calibri"/>
          <w:color w:val="2D2D2D"/>
          <w:sz w:val="20"/>
        </w:rPr>
        <w:lastRenderedPageBreak/>
        <w:t>cross-validation leaks forward-looking information into the training set. To enforce causal integrity, chronological train/validation/test splits must incorporate horizon purging: dropping trailing samples equal to the forward label horizon (H=3) prior to split boundaries.</w:t>
      </w:r>
    </w:p>
    <w:p w14:paraId="22E1165A" w14:textId="77777777" w:rsidR="00F9121E" w:rsidRDefault="00F524FC">
      <w:pPr>
        <w:pStyle w:val="Heading2"/>
        <w:spacing w:before="240" w:after="80"/>
      </w:pPr>
      <w:r>
        <w:rPr>
          <w:rFonts w:ascii="Calibri" w:hAnsi="Calibri"/>
          <w:color w:val="000000"/>
          <w:sz w:val="23"/>
        </w:rPr>
        <w:t>2.3 Evolutionary Multi-Objective Optimization &amp; Gradient Boosting</w:t>
      </w:r>
    </w:p>
    <w:p w14:paraId="302331C5" w14:textId="77777777" w:rsidR="00F9121E" w:rsidRDefault="00F524FC">
      <w:pPr>
        <w:spacing w:after="90"/>
      </w:pPr>
      <w:r>
        <w:rPr>
          <w:rFonts w:ascii="Calibri" w:hAnsi="Calibri"/>
          <w:color w:val="2D2D2D"/>
          <w:sz w:val="20"/>
        </w:rPr>
        <w:t>The Non-dominated Sorting Genetic Algorithm II (NSGA-II) developed by Deb et al. [1] represents a benchmark standard in multi-objective evolutionary computation. NSGA-II addresses the computational bottlenecks of early genetic algorithms through fast non-dominated sorting, elitist parent-offspring combining, and a parameter-less crowding distance operator that preserves population diversity along the Pareto front. In tabular machine learning, Ke et al. [2] introduced LightGBM, which leverages Gradient-based</w:t>
      </w:r>
      <w:r>
        <w:rPr>
          <w:rFonts w:ascii="Calibri" w:hAnsi="Calibri"/>
          <w:color w:val="2D2D2D"/>
          <w:sz w:val="20"/>
        </w:rPr>
        <w:t xml:space="preserve"> One-Side Sampling (GOSS) and Exclusive Feature Bundling (EFB) to deliver rapid, memory-efficient tree boosting, making it an ideal candidate for low-latency financial signal generation.</w:t>
      </w:r>
    </w:p>
    <w:p w14:paraId="51391973" w14:textId="77777777" w:rsidR="00F9121E" w:rsidRDefault="00F524FC">
      <w:pPr>
        <w:pStyle w:val="Heading1"/>
        <w:spacing w:before="360" w:after="120"/>
      </w:pPr>
      <w:bookmarkStart w:id="2" w:name="_Toc242739349"/>
      <w:r>
        <w:rPr>
          <w:rFonts w:ascii="Calibri" w:hAnsi="Calibri"/>
          <w:color w:val="000000"/>
          <w:sz w:val="24"/>
        </w:rPr>
        <w:t>CHAPTER 3</w:t>
      </w:r>
      <w:r>
        <w:rPr>
          <w:rFonts w:ascii="Calibri" w:hAnsi="Calibri"/>
          <w:color w:val="000000"/>
          <w:sz w:val="24"/>
        </w:rPr>
        <w:br/>
      </w:r>
      <w:r>
        <w:rPr>
          <w:rFonts w:ascii="Calibri" w:hAnsi="Calibri"/>
          <w:color w:val="000000"/>
          <w:sz w:val="30"/>
        </w:rPr>
        <w:t>System Architecture &amp; Mathematical Formulation</w:t>
      </w:r>
      <w:bookmarkEnd w:id="2"/>
    </w:p>
    <w:p w14:paraId="1692242D" w14:textId="77777777" w:rsidR="00F9121E" w:rsidRDefault="00F524FC">
      <w:pPr>
        <w:pStyle w:val="Heading2"/>
        <w:spacing w:before="240" w:after="80"/>
      </w:pPr>
      <w:r>
        <w:rPr>
          <w:rFonts w:ascii="Calibri" w:hAnsi="Calibri"/>
          <w:color w:val="000000"/>
          <w:sz w:val="23"/>
        </w:rPr>
        <w:t>3.1 Two-Tier Computational Intelligence Architecture</w:t>
      </w:r>
    </w:p>
    <w:p w14:paraId="7F828C30" w14:textId="77777777" w:rsidR="00F9121E" w:rsidRDefault="00F524FC">
      <w:pPr>
        <w:spacing w:after="90"/>
      </w:pPr>
      <w:r>
        <w:rPr>
          <w:rFonts w:ascii="Calibri" w:hAnsi="Calibri"/>
          <w:color w:val="2D2D2D"/>
          <w:sz w:val="20"/>
        </w:rPr>
        <w:t>The system decouples directional prediction from risk-constrained decision execution across two computational tiers: Tier 1 functions as a statistical feature extractor and probabilistic classifier, producing conditional directional probabilities p_hat_t = P(y_t = 1 | x_t). Tier 2 acts as a metaheuristic policy engine, searching continuous trading rule parameters to balance risk and return directly on portfolio equity.</w:t>
      </w:r>
    </w:p>
    <w:p w14:paraId="4E491655" w14:textId="77777777" w:rsidR="00F9121E" w:rsidRDefault="00F524FC">
      <w:pPr>
        <w:keepNext/>
        <w:spacing w:before="120" w:after="40"/>
        <w:jc w:val="center"/>
      </w:pPr>
      <w:r>
        <w:rPr>
          <w:noProof/>
        </w:rPr>
        <w:drawing>
          <wp:inline distT="0" distB="0" distL="0" distR="0" wp14:anchorId="53CEE02A" wp14:editId="427A9A9A">
            <wp:extent cx="548640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8"/>
                    <a:stretch>
                      <a:fillRect/>
                    </a:stretch>
                  </pic:blipFill>
                  <pic:spPr>
                    <a:xfrm>
                      <a:off x="0" y="0"/>
                      <a:ext cx="5486400" cy="3017520"/>
                    </a:xfrm>
                    <a:prstGeom prst="rect">
                      <a:avLst/>
                    </a:prstGeom>
                  </pic:spPr>
                </pic:pic>
              </a:graphicData>
            </a:graphic>
          </wp:inline>
        </w:drawing>
      </w:r>
    </w:p>
    <w:p w14:paraId="64EA8F52" w14:textId="77777777" w:rsidR="00F9121E" w:rsidRDefault="00F524FC">
      <w:pPr>
        <w:spacing w:after="120"/>
        <w:jc w:val="center"/>
      </w:pPr>
      <w:r>
        <w:rPr>
          <w:rFonts w:ascii="Calibri" w:hAnsi="Calibri"/>
          <w:i/>
          <w:color w:val="6E6E6E"/>
          <w:sz w:val="17"/>
        </w:rPr>
        <w:t>Figure 3.1. Two-Tier Computational Intelligence system architecture: Data engineering with purged splits (H=3), Tier 1 LightGBM classifier, Tier 2 NSGA-II optimizer, and causal backtest engine.</w:t>
      </w:r>
    </w:p>
    <w:p w14:paraId="158931D4" w14:textId="77777777" w:rsidR="00F9121E" w:rsidRDefault="00F524FC">
      <w:pPr>
        <w:pStyle w:val="Heading2"/>
        <w:spacing w:before="240" w:after="80"/>
      </w:pPr>
      <w:r>
        <w:rPr>
          <w:rFonts w:ascii="Calibri" w:hAnsi="Calibri"/>
          <w:color w:val="000000"/>
          <w:sz w:val="23"/>
        </w:rPr>
        <w:t>3.2 Chromosome Encoding &amp; Parameter Bounds</w:t>
      </w:r>
    </w:p>
    <w:p w14:paraId="4B496137" w14:textId="77777777" w:rsidR="00F9121E" w:rsidRDefault="00F524FC">
      <w:pPr>
        <w:spacing w:after="90"/>
      </w:pPr>
      <w:r>
        <w:rPr>
          <w:rFonts w:ascii="Calibri" w:hAnsi="Calibri"/>
          <w:color w:val="2D2D2D"/>
          <w:sz w:val="20"/>
        </w:rPr>
        <w:t>Each candidate trading strategy is represented as a real-valued chromosome of length 7: g = [p_entry, p_exit, SL, TP, Trail, VolAlloc, MaxHold], bounded strictly by domain constraints:</w:t>
      </w:r>
    </w:p>
    <w:tbl>
      <w:tblPr>
        <w:tblW w:w="0" w:type="auto"/>
        <w:jc w:val="center"/>
        <w:tblBorders>
          <w:top w:val="single" w:sz="6" w:space="0" w:color="888888"/>
          <w:bottom w:val="single" w:sz="6" w:space="0" w:color="888888"/>
          <w:insideH w:val="single" w:sz="4" w:space="0" w:color="CCCCCC"/>
        </w:tblBorders>
        <w:tblLayout w:type="fixed"/>
        <w:tblLook w:val="04A0" w:firstRow="1" w:lastRow="0" w:firstColumn="1" w:lastColumn="0" w:noHBand="0" w:noVBand="1"/>
      </w:tblPr>
      <w:tblGrid>
        <w:gridCol w:w="1728"/>
        <w:gridCol w:w="2592"/>
        <w:gridCol w:w="2160"/>
        <w:gridCol w:w="2880"/>
      </w:tblGrid>
      <w:tr w:rsidR="00F9121E" w14:paraId="3CAA860A" w14:textId="77777777">
        <w:trPr>
          <w:jc w:val="center"/>
        </w:trPr>
        <w:tc>
          <w:tcPr>
            <w:tcW w:w="1728" w:type="dxa"/>
            <w:shd w:val="clear" w:color="auto" w:fill="F2F2F2"/>
          </w:tcPr>
          <w:p w14:paraId="59235498" w14:textId="77777777" w:rsidR="00F9121E" w:rsidRDefault="00F524FC">
            <w:pPr>
              <w:spacing w:before="40" w:after="40" w:line="252" w:lineRule="auto"/>
            </w:pPr>
            <w:r>
              <w:rPr>
                <w:rFonts w:ascii="Calibri" w:hAnsi="Calibri"/>
                <w:b/>
                <w:color w:val="000000"/>
                <w:sz w:val="17"/>
              </w:rPr>
              <w:lastRenderedPageBreak/>
              <w:t>Gene Index</w:t>
            </w:r>
          </w:p>
        </w:tc>
        <w:tc>
          <w:tcPr>
            <w:tcW w:w="2592" w:type="dxa"/>
            <w:shd w:val="clear" w:color="auto" w:fill="F2F2F2"/>
          </w:tcPr>
          <w:p w14:paraId="3B712E59" w14:textId="77777777" w:rsidR="00F9121E" w:rsidRDefault="00F524FC">
            <w:pPr>
              <w:spacing w:before="40" w:after="40" w:line="252" w:lineRule="auto"/>
            </w:pPr>
            <w:r>
              <w:rPr>
                <w:rFonts w:ascii="Calibri" w:hAnsi="Calibri"/>
                <w:b/>
                <w:color w:val="000000"/>
                <w:sz w:val="17"/>
              </w:rPr>
              <w:t>Parameter Name</w:t>
            </w:r>
          </w:p>
        </w:tc>
        <w:tc>
          <w:tcPr>
            <w:tcW w:w="2160" w:type="dxa"/>
            <w:shd w:val="clear" w:color="auto" w:fill="F2F2F2"/>
          </w:tcPr>
          <w:p w14:paraId="000BF217" w14:textId="77777777" w:rsidR="00F9121E" w:rsidRDefault="00F524FC">
            <w:pPr>
              <w:spacing w:before="40" w:after="40" w:line="252" w:lineRule="auto"/>
            </w:pPr>
            <w:r>
              <w:rPr>
                <w:rFonts w:ascii="Calibri" w:hAnsi="Calibri"/>
                <w:b/>
                <w:color w:val="000000"/>
                <w:sz w:val="17"/>
              </w:rPr>
              <w:t>Valid Bounds</w:t>
            </w:r>
          </w:p>
        </w:tc>
        <w:tc>
          <w:tcPr>
            <w:tcW w:w="2880" w:type="dxa"/>
            <w:shd w:val="clear" w:color="auto" w:fill="F2F2F2"/>
          </w:tcPr>
          <w:p w14:paraId="65530317" w14:textId="77777777" w:rsidR="00F9121E" w:rsidRDefault="00F524FC">
            <w:pPr>
              <w:spacing w:before="40" w:after="40" w:line="252" w:lineRule="auto"/>
            </w:pPr>
            <w:r>
              <w:rPr>
                <w:rFonts w:ascii="Calibri" w:hAnsi="Calibri"/>
                <w:b/>
                <w:color w:val="000000"/>
                <w:sz w:val="17"/>
              </w:rPr>
              <w:t>Operational Function</w:t>
            </w:r>
          </w:p>
        </w:tc>
      </w:tr>
      <w:tr w:rsidR="00F9121E" w14:paraId="7E0726F1" w14:textId="77777777">
        <w:trPr>
          <w:jc w:val="center"/>
        </w:trPr>
        <w:tc>
          <w:tcPr>
            <w:tcW w:w="1728" w:type="dxa"/>
          </w:tcPr>
          <w:p w14:paraId="74E4F855" w14:textId="77777777" w:rsidR="00F9121E" w:rsidRDefault="00F524FC">
            <w:pPr>
              <w:spacing w:before="40" w:after="40" w:line="252" w:lineRule="auto"/>
            </w:pPr>
            <w:r>
              <w:rPr>
                <w:rFonts w:ascii="Calibri" w:hAnsi="Calibri"/>
                <w:color w:val="2D2D2D"/>
                <w:sz w:val="17"/>
              </w:rPr>
              <w:t>g_0</w:t>
            </w:r>
          </w:p>
        </w:tc>
        <w:tc>
          <w:tcPr>
            <w:tcW w:w="2592" w:type="dxa"/>
          </w:tcPr>
          <w:p w14:paraId="0F17D8C2" w14:textId="77777777" w:rsidR="00F9121E" w:rsidRDefault="00F524FC">
            <w:pPr>
              <w:spacing w:before="40" w:after="40" w:line="252" w:lineRule="auto"/>
            </w:pPr>
            <w:r>
              <w:rPr>
                <w:rFonts w:ascii="Calibri" w:hAnsi="Calibri"/>
                <w:color w:val="2D2D2D"/>
                <w:sz w:val="17"/>
              </w:rPr>
              <w:t>p_entry</w:t>
            </w:r>
          </w:p>
        </w:tc>
        <w:tc>
          <w:tcPr>
            <w:tcW w:w="2160" w:type="dxa"/>
          </w:tcPr>
          <w:p w14:paraId="20E331F7" w14:textId="77777777" w:rsidR="00F9121E" w:rsidRDefault="00F524FC">
            <w:pPr>
              <w:spacing w:before="40" w:after="40" w:line="252" w:lineRule="auto"/>
            </w:pPr>
            <w:r>
              <w:rPr>
                <w:rFonts w:ascii="Calibri" w:hAnsi="Calibri"/>
                <w:color w:val="2D2D2D"/>
                <w:sz w:val="17"/>
              </w:rPr>
              <w:t>[0.52, 0.85]</w:t>
            </w:r>
          </w:p>
        </w:tc>
        <w:tc>
          <w:tcPr>
            <w:tcW w:w="2880" w:type="dxa"/>
          </w:tcPr>
          <w:p w14:paraId="4700A001" w14:textId="77777777" w:rsidR="00F9121E" w:rsidRDefault="00F524FC">
            <w:pPr>
              <w:spacing w:before="40" w:after="40" w:line="252" w:lineRule="auto"/>
            </w:pPr>
            <w:r>
              <w:rPr>
                <w:rFonts w:ascii="Calibri" w:hAnsi="Calibri"/>
                <w:color w:val="2D2D2D"/>
                <w:sz w:val="17"/>
              </w:rPr>
              <w:t>Model probability hurdle required to queue a long entry</w:t>
            </w:r>
          </w:p>
        </w:tc>
      </w:tr>
      <w:tr w:rsidR="00F9121E" w14:paraId="3F2CE49E" w14:textId="77777777">
        <w:trPr>
          <w:jc w:val="center"/>
        </w:trPr>
        <w:tc>
          <w:tcPr>
            <w:tcW w:w="1728" w:type="dxa"/>
          </w:tcPr>
          <w:p w14:paraId="736DF0EC" w14:textId="77777777" w:rsidR="00F9121E" w:rsidRDefault="00F524FC">
            <w:pPr>
              <w:spacing w:before="40" w:after="40" w:line="252" w:lineRule="auto"/>
            </w:pPr>
            <w:r>
              <w:rPr>
                <w:rFonts w:ascii="Calibri" w:hAnsi="Calibri"/>
                <w:color w:val="2D2D2D"/>
                <w:sz w:val="17"/>
              </w:rPr>
              <w:t>g_1</w:t>
            </w:r>
          </w:p>
        </w:tc>
        <w:tc>
          <w:tcPr>
            <w:tcW w:w="2592" w:type="dxa"/>
          </w:tcPr>
          <w:p w14:paraId="5BC073DC" w14:textId="77777777" w:rsidR="00F9121E" w:rsidRDefault="00F524FC">
            <w:pPr>
              <w:spacing w:before="40" w:after="40" w:line="252" w:lineRule="auto"/>
            </w:pPr>
            <w:r>
              <w:rPr>
                <w:rFonts w:ascii="Calibri" w:hAnsi="Calibri"/>
                <w:color w:val="2D2D2D"/>
                <w:sz w:val="17"/>
              </w:rPr>
              <w:t>p_exit</w:t>
            </w:r>
          </w:p>
        </w:tc>
        <w:tc>
          <w:tcPr>
            <w:tcW w:w="2160" w:type="dxa"/>
          </w:tcPr>
          <w:p w14:paraId="0129AEF2" w14:textId="77777777" w:rsidR="00F9121E" w:rsidRDefault="00F524FC">
            <w:pPr>
              <w:spacing w:before="40" w:after="40" w:line="252" w:lineRule="auto"/>
            </w:pPr>
            <w:r>
              <w:rPr>
                <w:rFonts w:ascii="Calibri" w:hAnsi="Calibri"/>
                <w:color w:val="2D2D2D"/>
                <w:sz w:val="17"/>
              </w:rPr>
              <w:t>[0.35, 0.50]</w:t>
            </w:r>
          </w:p>
        </w:tc>
        <w:tc>
          <w:tcPr>
            <w:tcW w:w="2880" w:type="dxa"/>
          </w:tcPr>
          <w:p w14:paraId="37291C3B" w14:textId="77777777" w:rsidR="00F9121E" w:rsidRDefault="00F524FC">
            <w:pPr>
              <w:spacing w:before="40" w:after="40" w:line="252" w:lineRule="auto"/>
            </w:pPr>
            <w:r>
              <w:rPr>
                <w:rFonts w:ascii="Calibri" w:hAnsi="Calibri"/>
                <w:color w:val="2D2D2D"/>
                <w:sz w:val="17"/>
              </w:rPr>
              <w:t>Model probability threshold triggering queued exit</w:t>
            </w:r>
          </w:p>
        </w:tc>
      </w:tr>
      <w:tr w:rsidR="00F9121E" w14:paraId="253E8B40" w14:textId="77777777">
        <w:trPr>
          <w:jc w:val="center"/>
        </w:trPr>
        <w:tc>
          <w:tcPr>
            <w:tcW w:w="1728" w:type="dxa"/>
          </w:tcPr>
          <w:p w14:paraId="384B56E4" w14:textId="77777777" w:rsidR="00F9121E" w:rsidRDefault="00F524FC">
            <w:pPr>
              <w:spacing w:before="40" w:after="40" w:line="252" w:lineRule="auto"/>
            </w:pPr>
            <w:r>
              <w:rPr>
                <w:rFonts w:ascii="Calibri" w:hAnsi="Calibri"/>
                <w:color w:val="2D2D2D"/>
                <w:sz w:val="17"/>
              </w:rPr>
              <w:t>g_2</w:t>
            </w:r>
          </w:p>
        </w:tc>
        <w:tc>
          <w:tcPr>
            <w:tcW w:w="2592" w:type="dxa"/>
          </w:tcPr>
          <w:p w14:paraId="3D514C55" w14:textId="77777777" w:rsidR="00F9121E" w:rsidRDefault="00F524FC">
            <w:pPr>
              <w:spacing w:before="40" w:after="40" w:line="252" w:lineRule="auto"/>
            </w:pPr>
            <w:r>
              <w:rPr>
                <w:rFonts w:ascii="Calibri" w:hAnsi="Calibri"/>
                <w:color w:val="2D2D2D"/>
                <w:sz w:val="17"/>
              </w:rPr>
              <w:t>SL Multiplier</w:t>
            </w:r>
          </w:p>
        </w:tc>
        <w:tc>
          <w:tcPr>
            <w:tcW w:w="2160" w:type="dxa"/>
          </w:tcPr>
          <w:p w14:paraId="72EA3B1B" w14:textId="77777777" w:rsidR="00F9121E" w:rsidRDefault="00F524FC">
            <w:pPr>
              <w:spacing w:before="40" w:after="40" w:line="252" w:lineRule="auto"/>
            </w:pPr>
            <w:r>
              <w:rPr>
                <w:rFonts w:ascii="Calibri" w:hAnsi="Calibri"/>
                <w:color w:val="2D2D2D"/>
                <w:sz w:val="17"/>
              </w:rPr>
              <w:t>[1.0, 4.5] x ATR</w:t>
            </w:r>
          </w:p>
        </w:tc>
        <w:tc>
          <w:tcPr>
            <w:tcW w:w="2880" w:type="dxa"/>
          </w:tcPr>
          <w:p w14:paraId="1EEA8009" w14:textId="77777777" w:rsidR="00F9121E" w:rsidRDefault="00F524FC">
            <w:pPr>
              <w:spacing w:before="40" w:after="40" w:line="252" w:lineRule="auto"/>
            </w:pPr>
            <w:r>
              <w:rPr>
                <w:rFonts w:ascii="Calibri" w:hAnsi="Calibri"/>
                <w:color w:val="2D2D2D"/>
                <w:sz w:val="17"/>
              </w:rPr>
              <w:t>Dynamic ATR stop-loss distance below fill price</w:t>
            </w:r>
          </w:p>
        </w:tc>
      </w:tr>
      <w:tr w:rsidR="00F9121E" w14:paraId="36BBB597" w14:textId="77777777">
        <w:trPr>
          <w:jc w:val="center"/>
        </w:trPr>
        <w:tc>
          <w:tcPr>
            <w:tcW w:w="1728" w:type="dxa"/>
          </w:tcPr>
          <w:p w14:paraId="6B70CFA5" w14:textId="77777777" w:rsidR="00F9121E" w:rsidRDefault="00F524FC">
            <w:pPr>
              <w:spacing w:before="40" w:after="40" w:line="252" w:lineRule="auto"/>
            </w:pPr>
            <w:r>
              <w:rPr>
                <w:rFonts w:ascii="Calibri" w:hAnsi="Calibri"/>
                <w:color w:val="2D2D2D"/>
                <w:sz w:val="17"/>
              </w:rPr>
              <w:t>g_3</w:t>
            </w:r>
          </w:p>
        </w:tc>
        <w:tc>
          <w:tcPr>
            <w:tcW w:w="2592" w:type="dxa"/>
          </w:tcPr>
          <w:p w14:paraId="61DACC06" w14:textId="77777777" w:rsidR="00F9121E" w:rsidRDefault="00F524FC">
            <w:pPr>
              <w:spacing w:before="40" w:after="40" w:line="252" w:lineRule="auto"/>
            </w:pPr>
            <w:r>
              <w:rPr>
                <w:rFonts w:ascii="Calibri" w:hAnsi="Calibri"/>
                <w:color w:val="2D2D2D"/>
                <w:sz w:val="17"/>
              </w:rPr>
              <w:t>TP Multiplier</w:t>
            </w:r>
          </w:p>
        </w:tc>
        <w:tc>
          <w:tcPr>
            <w:tcW w:w="2160" w:type="dxa"/>
          </w:tcPr>
          <w:p w14:paraId="21D1EF5A" w14:textId="77777777" w:rsidR="00F9121E" w:rsidRDefault="00F524FC">
            <w:pPr>
              <w:spacing w:before="40" w:after="40" w:line="252" w:lineRule="auto"/>
            </w:pPr>
            <w:r>
              <w:rPr>
                <w:rFonts w:ascii="Calibri" w:hAnsi="Calibri"/>
                <w:color w:val="2D2D2D"/>
                <w:sz w:val="17"/>
              </w:rPr>
              <w:t>[1.5, 7.0] x ATR</w:t>
            </w:r>
          </w:p>
        </w:tc>
        <w:tc>
          <w:tcPr>
            <w:tcW w:w="2880" w:type="dxa"/>
          </w:tcPr>
          <w:p w14:paraId="0DD81C20" w14:textId="77777777" w:rsidR="00F9121E" w:rsidRDefault="00F524FC">
            <w:pPr>
              <w:spacing w:before="40" w:after="40" w:line="252" w:lineRule="auto"/>
            </w:pPr>
            <w:r>
              <w:rPr>
                <w:rFonts w:ascii="Calibri" w:hAnsi="Calibri"/>
                <w:color w:val="2D2D2D"/>
                <w:sz w:val="17"/>
              </w:rPr>
              <w:t>Dynamic ATR take-profit target above fill price</w:t>
            </w:r>
          </w:p>
        </w:tc>
      </w:tr>
      <w:tr w:rsidR="00F9121E" w14:paraId="58590AFA" w14:textId="77777777">
        <w:trPr>
          <w:jc w:val="center"/>
        </w:trPr>
        <w:tc>
          <w:tcPr>
            <w:tcW w:w="1728" w:type="dxa"/>
          </w:tcPr>
          <w:p w14:paraId="5A324403" w14:textId="77777777" w:rsidR="00F9121E" w:rsidRDefault="00F524FC">
            <w:pPr>
              <w:spacing w:before="40" w:after="40" w:line="252" w:lineRule="auto"/>
            </w:pPr>
            <w:r>
              <w:rPr>
                <w:rFonts w:ascii="Calibri" w:hAnsi="Calibri"/>
                <w:color w:val="2D2D2D"/>
                <w:sz w:val="17"/>
              </w:rPr>
              <w:t>g_4</w:t>
            </w:r>
          </w:p>
        </w:tc>
        <w:tc>
          <w:tcPr>
            <w:tcW w:w="2592" w:type="dxa"/>
          </w:tcPr>
          <w:p w14:paraId="5567FEFB" w14:textId="77777777" w:rsidR="00F9121E" w:rsidRDefault="00F524FC">
            <w:pPr>
              <w:spacing w:before="40" w:after="40" w:line="252" w:lineRule="auto"/>
            </w:pPr>
            <w:r>
              <w:rPr>
                <w:rFonts w:ascii="Calibri" w:hAnsi="Calibri"/>
                <w:color w:val="2D2D2D"/>
                <w:sz w:val="17"/>
              </w:rPr>
              <w:t>Trailing Stop</w:t>
            </w:r>
          </w:p>
        </w:tc>
        <w:tc>
          <w:tcPr>
            <w:tcW w:w="2160" w:type="dxa"/>
          </w:tcPr>
          <w:p w14:paraId="11ADBF80" w14:textId="77777777" w:rsidR="00F9121E" w:rsidRDefault="00F524FC">
            <w:pPr>
              <w:spacing w:before="40" w:after="40" w:line="252" w:lineRule="auto"/>
            </w:pPr>
            <w:r>
              <w:rPr>
                <w:rFonts w:ascii="Calibri" w:hAnsi="Calibri"/>
                <w:color w:val="2D2D2D"/>
                <w:sz w:val="17"/>
              </w:rPr>
              <w:t>[0.01, 0.06]</w:t>
            </w:r>
          </w:p>
        </w:tc>
        <w:tc>
          <w:tcPr>
            <w:tcW w:w="2880" w:type="dxa"/>
          </w:tcPr>
          <w:p w14:paraId="51983C95" w14:textId="77777777" w:rsidR="00F9121E" w:rsidRDefault="00F524FC">
            <w:pPr>
              <w:spacing w:before="40" w:after="40" w:line="252" w:lineRule="auto"/>
            </w:pPr>
            <w:r>
              <w:rPr>
                <w:rFonts w:ascii="Calibri" w:hAnsi="Calibri"/>
                <w:color w:val="2D2D2D"/>
                <w:sz w:val="17"/>
              </w:rPr>
              <w:t>Peak-profit trailing stop-loss fraction (1% to 6%)</w:t>
            </w:r>
          </w:p>
        </w:tc>
      </w:tr>
      <w:tr w:rsidR="00F9121E" w14:paraId="108AD35D" w14:textId="77777777">
        <w:trPr>
          <w:jc w:val="center"/>
        </w:trPr>
        <w:tc>
          <w:tcPr>
            <w:tcW w:w="1728" w:type="dxa"/>
          </w:tcPr>
          <w:p w14:paraId="6B06F368" w14:textId="77777777" w:rsidR="00F9121E" w:rsidRDefault="00F524FC">
            <w:pPr>
              <w:spacing w:before="40" w:after="40" w:line="252" w:lineRule="auto"/>
            </w:pPr>
            <w:r>
              <w:rPr>
                <w:rFonts w:ascii="Calibri" w:hAnsi="Calibri"/>
                <w:color w:val="2D2D2D"/>
                <w:sz w:val="17"/>
              </w:rPr>
              <w:t>g_5</w:t>
            </w:r>
          </w:p>
        </w:tc>
        <w:tc>
          <w:tcPr>
            <w:tcW w:w="2592" w:type="dxa"/>
          </w:tcPr>
          <w:p w14:paraId="04B4CDC7" w14:textId="77777777" w:rsidR="00F9121E" w:rsidRDefault="00F524FC">
            <w:pPr>
              <w:spacing w:before="40" w:after="40" w:line="252" w:lineRule="auto"/>
            </w:pPr>
            <w:r>
              <w:rPr>
                <w:rFonts w:ascii="Calibri" w:hAnsi="Calibri"/>
                <w:color w:val="2D2D2D"/>
                <w:sz w:val="17"/>
              </w:rPr>
              <w:t>VolAlloc</w:t>
            </w:r>
          </w:p>
        </w:tc>
        <w:tc>
          <w:tcPr>
            <w:tcW w:w="2160" w:type="dxa"/>
          </w:tcPr>
          <w:p w14:paraId="2746FB79" w14:textId="77777777" w:rsidR="00F9121E" w:rsidRDefault="00F524FC">
            <w:pPr>
              <w:spacing w:before="40" w:after="40" w:line="252" w:lineRule="auto"/>
            </w:pPr>
            <w:r>
              <w:rPr>
                <w:rFonts w:ascii="Calibri" w:hAnsi="Calibri"/>
                <w:color w:val="2D2D2D"/>
                <w:sz w:val="17"/>
              </w:rPr>
              <w:t>[0.10, 1.00]</w:t>
            </w:r>
          </w:p>
        </w:tc>
        <w:tc>
          <w:tcPr>
            <w:tcW w:w="2880" w:type="dxa"/>
          </w:tcPr>
          <w:p w14:paraId="692A22ED" w14:textId="77777777" w:rsidR="00F9121E" w:rsidRDefault="00F524FC">
            <w:pPr>
              <w:spacing w:before="40" w:after="40" w:line="252" w:lineRule="auto"/>
            </w:pPr>
            <w:r>
              <w:rPr>
                <w:rFonts w:ascii="Calibri" w:hAnsi="Calibri"/>
                <w:color w:val="2D2D2D"/>
                <w:sz w:val="17"/>
              </w:rPr>
              <w:t>Capital allocation multiplier in high-volatility regimes</w:t>
            </w:r>
          </w:p>
        </w:tc>
      </w:tr>
      <w:tr w:rsidR="00F9121E" w14:paraId="043025F4" w14:textId="77777777">
        <w:trPr>
          <w:jc w:val="center"/>
        </w:trPr>
        <w:tc>
          <w:tcPr>
            <w:tcW w:w="1728" w:type="dxa"/>
          </w:tcPr>
          <w:p w14:paraId="38DB5487" w14:textId="77777777" w:rsidR="00F9121E" w:rsidRDefault="00F524FC">
            <w:pPr>
              <w:spacing w:before="40" w:after="40" w:line="252" w:lineRule="auto"/>
            </w:pPr>
            <w:r>
              <w:rPr>
                <w:rFonts w:ascii="Calibri" w:hAnsi="Calibri"/>
                <w:color w:val="2D2D2D"/>
                <w:sz w:val="17"/>
              </w:rPr>
              <w:t>g_6</w:t>
            </w:r>
          </w:p>
        </w:tc>
        <w:tc>
          <w:tcPr>
            <w:tcW w:w="2592" w:type="dxa"/>
          </w:tcPr>
          <w:p w14:paraId="51468C4B" w14:textId="77777777" w:rsidR="00F9121E" w:rsidRDefault="00F524FC">
            <w:pPr>
              <w:spacing w:before="40" w:after="40" w:line="252" w:lineRule="auto"/>
            </w:pPr>
            <w:r>
              <w:rPr>
                <w:rFonts w:ascii="Calibri" w:hAnsi="Calibri"/>
                <w:color w:val="2D2D2D"/>
                <w:sz w:val="17"/>
              </w:rPr>
              <w:t>MaxHold</w:t>
            </w:r>
          </w:p>
        </w:tc>
        <w:tc>
          <w:tcPr>
            <w:tcW w:w="2160" w:type="dxa"/>
          </w:tcPr>
          <w:p w14:paraId="1A80FD81" w14:textId="77777777" w:rsidR="00F9121E" w:rsidRDefault="00F524FC">
            <w:pPr>
              <w:spacing w:before="40" w:after="40" w:line="252" w:lineRule="auto"/>
            </w:pPr>
            <w:r>
              <w:rPr>
                <w:rFonts w:ascii="Calibri" w:hAnsi="Calibri"/>
                <w:color w:val="2D2D2D"/>
                <w:sz w:val="17"/>
              </w:rPr>
              <w:t>[5.0, 45.0] Bars</w:t>
            </w:r>
          </w:p>
        </w:tc>
        <w:tc>
          <w:tcPr>
            <w:tcW w:w="2880" w:type="dxa"/>
          </w:tcPr>
          <w:p w14:paraId="6189F2B0" w14:textId="77777777" w:rsidR="00F9121E" w:rsidRDefault="00F524FC">
            <w:pPr>
              <w:spacing w:before="40" w:after="40" w:line="252" w:lineRule="auto"/>
            </w:pPr>
            <w:r>
              <w:rPr>
                <w:rFonts w:ascii="Calibri" w:hAnsi="Calibri"/>
                <w:color w:val="2D2D2D"/>
                <w:sz w:val="17"/>
              </w:rPr>
              <w:t>Maximum time-based holding duration in sessions</w:t>
            </w:r>
          </w:p>
        </w:tc>
      </w:tr>
    </w:tbl>
    <w:p w14:paraId="462CB737" w14:textId="77777777" w:rsidR="00F9121E" w:rsidRDefault="00F524FC">
      <w:pPr>
        <w:pStyle w:val="Heading2"/>
        <w:spacing w:before="240" w:after="80"/>
      </w:pPr>
      <w:r>
        <w:rPr>
          <w:rFonts w:ascii="Calibri" w:hAnsi="Calibri"/>
          <w:color w:val="000000"/>
          <w:sz w:val="23"/>
        </w:rPr>
        <w:t>3.3 Bi-Objective Optimization Formulation &amp; Operators</w:t>
      </w:r>
    </w:p>
    <w:p w14:paraId="3C7D8DF3" w14:textId="77777777" w:rsidR="00F9121E" w:rsidRDefault="00F524FC">
      <w:pPr>
        <w:spacing w:after="90"/>
      </w:pPr>
      <w:r>
        <w:rPr>
          <w:rFonts w:ascii="Calibri" w:hAnsi="Calibri"/>
          <w:color w:val="2D2D2D"/>
          <w:sz w:val="20"/>
        </w:rPr>
        <w:t>NSGA-II evaluates each candidate chromosome across the 2-year Development partition under two conflicting objective functions: (1) Maximize Annualized Sharpe Ratio f_1 = (mu_r / sigma_r) * sqrt(252) (assuming a 0.0% risk-free rate); (2) Minimize Maximum Drawdown f_2 = max_t ((Peak_t - Equity_t) / Peak_t). A candidate solution a Pareto-dominates solution b (a dominates b) if f_1(a) &gt;= f_1(b) and f_2(a) &lt;= f_2(b), with at least one strict inequality.</w:t>
      </w:r>
    </w:p>
    <w:p w14:paraId="37BB7C5E" w14:textId="77777777" w:rsidR="00F9121E" w:rsidRDefault="00F524FC">
      <w:pPr>
        <w:spacing w:after="90"/>
      </w:pPr>
      <w:r>
        <w:rPr>
          <w:rFonts w:ascii="Calibri" w:hAnsi="Calibri"/>
          <w:color w:val="2D2D2D"/>
          <w:sz w:val="20"/>
        </w:rPr>
        <w:t>Evolutionary search uses population size N=30 across G=10 generations. Variation operators comprise Simulated Binary Crossover (SBX, crossover probability pc=0.85, distribution index eta_c=15) and Polynomial Mutation (per-gene mutation probability pm = 1/7, distribution index eta_m=20). To penalize inactivity during development, candidate rules generating fewer than 5 completed trades receive a fitness penalty: Sharpe is decremented by 2.0 (Sharpe -= 2.0) and Maximum Drawdown is floored at 0.5 (MaxDD = max(</w:t>
      </w:r>
      <w:r>
        <w:rPr>
          <w:rFonts w:ascii="Calibri" w:hAnsi="Calibri"/>
          <w:color w:val="2D2D2D"/>
          <w:sz w:val="20"/>
        </w:rPr>
        <w:t>MaxDD, 0.5)). Following search, the solution with the highest development Sharpe ratio among feasible candidate rules (those with &gt;= 5 completed development trades) is selected as the representative trading policy. If no candidate completes &gt;= 5 trades, the system defaults to 100% Cash during test evaluation.</w:t>
      </w:r>
    </w:p>
    <w:p w14:paraId="2E9EFADD" w14:textId="77777777" w:rsidR="00F9121E" w:rsidRDefault="00F524FC">
      <w:pPr>
        <w:pStyle w:val="Heading1"/>
        <w:spacing w:before="360" w:after="120"/>
      </w:pPr>
      <w:bookmarkStart w:id="3" w:name="_Toc242739350"/>
      <w:r>
        <w:rPr>
          <w:rFonts w:ascii="Calibri" w:hAnsi="Calibri"/>
          <w:color w:val="000000"/>
          <w:sz w:val="24"/>
        </w:rPr>
        <w:t>CHAPTER 4</w:t>
      </w:r>
      <w:r>
        <w:rPr>
          <w:rFonts w:ascii="Calibri" w:hAnsi="Calibri"/>
          <w:color w:val="000000"/>
          <w:sz w:val="24"/>
        </w:rPr>
        <w:br/>
      </w:r>
      <w:r>
        <w:rPr>
          <w:rFonts w:ascii="Calibri" w:hAnsi="Calibri"/>
          <w:color w:val="000000"/>
          <w:sz w:val="30"/>
        </w:rPr>
        <w:t>Data Engineering &amp; Walk-Forward Protocol</w:t>
      </w:r>
      <w:bookmarkEnd w:id="3"/>
    </w:p>
    <w:p w14:paraId="240ACC86" w14:textId="77777777" w:rsidR="00F9121E" w:rsidRDefault="00F524FC">
      <w:pPr>
        <w:pStyle w:val="Heading2"/>
        <w:spacing w:before="240" w:after="80"/>
      </w:pPr>
      <w:r>
        <w:rPr>
          <w:rFonts w:ascii="Calibri" w:hAnsi="Calibri"/>
          <w:color w:val="000000"/>
          <w:sz w:val="23"/>
        </w:rPr>
        <w:t>4.1 Data Acquisition &amp; Snapshot Manifest</w:t>
      </w:r>
    </w:p>
    <w:p w14:paraId="4D54FB28" w14:textId="77777777" w:rsidR="00F9121E" w:rsidRDefault="00F524FC">
      <w:pPr>
        <w:spacing w:after="90"/>
      </w:pPr>
      <w:r>
        <w:rPr>
          <w:rFonts w:ascii="Calibri" w:hAnsi="Calibri"/>
          <w:color w:val="2D2D2D"/>
          <w:sz w:val="20"/>
        </w:rPr>
        <w:t>To guarantee complete offline reproducibility, historical daily OHLCV series for Reliance Industries (RELIANCE.NS), Tata Consultancy Services (TCS.NS), and Infosys (INFY.NS) were cached in immutable Apache Parquet format under reports/experiments/inputs/. Cryptographic SHA-256 hashes for all snapshots are tracked in manifest.json. Historical prices reflect Yahoo Finance dividend- and split-adjusted series (auto_adjust=True), ensuring corporate actions do not induce artificial price discontinuities.</w:t>
      </w:r>
    </w:p>
    <w:p w14:paraId="50341C80" w14:textId="77777777" w:rsidR="00F9121E" w:rsidRDefault="00F524FC">
      <w:pPr>
        <w:pStyle w:val="Heading2"/>
        <w:spacing w:before="240" w:after="80"/>
      </w:pPr>
      <w:r>
        <w:rPr>
          <w:rFonts w:ascii="Calibri" w:hAnsi="Calibri"/>
          <w:color w:val="000000"/>
          <w:sz w:val="23"/>
        </w:rPr>
        <w:t xml:space="preserve">4.2 </w:t>
      </w:r>
      <w:r>
        <w:rPr>
          <w:rFonts w:ascii="Calibri" w:hAnsi="Calibri"/>
          <w:color w:val="000000"/>
          <w:sz w:val="23"/>
        </w:rPr>
        <w:t>20 Engineered Technical Indicators</w:t>
      </w:r>
    </w:p>
    <w:p w14:paraId="7A3634B6" w14:textId="77777777" w:rsidR="00F9121E" w:rsidRDefault="00F524FC">
      <w:pPr>
        <w:spacing w:after="90"/>
      </w:pPr>
      <w:r>
        <w:rPr>
          <w:rFonts w:ascii="Calibri" w:hAnsi="Calibri"/>
          <w:color w:val="2D2D2D"/>
          <w:sz w:val="20"/>
        </w:rPr>
        <w:t xml:space="preserve">The feature pipeline computes 20 technical and regime indicators matching FEATURE_COLUMNS in rolling_runner.py: (1) Trend Distances: percentage distances to 10-day, 50-day, and 200-day Simple Moving </w:t>
      </w:r>
      <w:r>
        <w:rPr>
          <w:rFonts w:ascii="Calibri" w:hAnsi="Calibri"/>
          <w:color w:val="2D2D2D"/>
          <w:sz w:val="20"/>
        </w:rPr>
        <w:lastRenderedPageBreak/>
        <w:t>Averages (dist_sma_10, dist_sma_50, dist_sma_200); (2) Momentum Indicators: MACD ratio (macd / close), MACD histogram, 14-day RSI (rsi_14), Stochastic %K and %D (stoch_k, stoch_d), and Rate of Change over 5, 10, and 20 days (roc_5, roc_10, roc_20); (3) Volatility Indicators: ATR percentage (atr_14 / close), 20-day and 60-day annualized realized return volatility (volatility_20, volatility_60), Bollinger Bands %B (bb_pct_b), and Bandwidth (bb_width); (4) Volume Indicators: 20-day volume z-score (volume_zscor</w:t>
      </w:r>
      <w:r>
        <w:rPr>
          <w:rFonts w:ascii="Calibri" w:hAnsi="Calibri"/>
          <w:color w:val="2D2D2D"/>
          <w:sz w:val="20"/>
        </w:rPr>
        <w:t>e) and 5-day On-Balance Volume Rate of Change (obv_roc_5); (5) Market Regimes: Volatility Regime flag (regime_high_vol = 1 if volatility_20 exceeds its rolling 100-day median, else 0) and Trend Regime flag (regime_trend = 1 if Close &gt; SMA50 &gt; SMA200; -1 if Close &lt; SMA50 &lt; SMA200; 0 otherwise). No stationarity transformations or unit root tests are claimed; features are fed directly as continuous inputs.</w:t>
      </w:r>
    </w:p>
    <w:p w14:paraId="0C911EA2" w14:textId="77777777" w:rsidR="00F9121E" w:rsidRDefault="00F524FC">
      <w:pPr>
        <w:pStyle w:val="Heading2"/>
        <w:spacing w:before="240" w:after="80"/>
      </w:pPr>
      <w:r>
        <w:rPr>
          <w:rFonts w:ascii="Calibri" w:hAnsi="Calibri"/>
          <w:color w:val="000000"/>
          <w:sz w:val="23"/>
        </w:rPr>
        <w:t>4.3 Chronological Partitions &amp; Horizon Purging</w:t>
      </w:r>
    </w:p>
    <w:p w14:paraId="3650F1B6" w14:textId="77777777" w:rsidR="00F9121E" w:rsidRDefault="00F524FC">
      <w:pPr>
        <w:spacing w:after="90"/>
      </w:pPr>
      <w:r>
        <w:rPr>
          <w:rFonts w:ascii="Calibri" w:hAnsi="Calibri"/>
          <w:color w:val="2D2D2D"/>
          <w:sz w:val="20"/>
        </w:rPr>
        <w:t>For each test year Y in [2020, 2025], data partitions are strictly partitioned: Training [Y-8, Y-4] (5 years, trailing 3 bars purged); Validation [Y-3] (1 year, trailing 3 bars purged); Development [Y-2, Y-1] (2 years, NSGA-II search, trailing 3 bars purged); and Test [Y] (1 year, out-of-sample). Purging the trailing 3 bars of training and validation prevents the 3-day forward target from overlapping into adjacent out-of-sample sets. On the test partition, the final 3 bars are masked from classification sco</w:t>
      </w:r>
      <w:r>
        <w:rPr>
          <w:rFonts w:ascii="Calibri" w:hAnsi="Calibri"/>
          <w:color w:val="2D2D2D"/>
          <w:sz w:val="20"/>
        </w:rPr>
        <w:t>ring because their forward targets resolve after the test window.</w:t>
      </w:r>
    </w:p>
    <w:p w14:paraId="5A55AA2F" w14:textId="77777777" w:rsidR="00F9121E" w:rsidRDefault="00F524FC">
      <w:pPr>
        <w:pStyle w:val="Heading1"/>
        <w:spacing w:before="360" w:after="120"/>
      </w:pPr>
      <w:bookmarkStart w:id="4" w:name="_Toc242739351"/>
      <w:r>
        <w:rPr>
          <w:rFonts w:ascii="Calibri" w:hAnsi="Calibri"/>
          <w:color w:val="000000"/>
          <w:sz w:val="24"/>
        </w:rPr>
        <w:t>CHAPTER 5</w:t>
      </w:r>
      <w:r>
        <w:rPr>
          <w:rFonts w:ascii="Calibri" w:hAnsi="Calibri"/>
          <w:color w:val="000000"/>
          <w:sz w:val="24"/>
        </w:rPr>
        <w:br/>
      </w:r>
      <w:r>
        <w:rPr>
          <w:rFonts w:ascii="Calibri" w:hAnsi="Calibri"/>
          <w:color w:val="000000"/>
          <w:sz w:val="30"/>
        </w:rPr>
        <w:t>High-Performance Vectorized Simulator Mechanics</w:t>
      </w:r>
      <w:bookmarkEnd w:id="4"/>
    </w:p>
    <w:p w14:paraId="236EA976" w14:textId="77777777" w:rsidR="00F9121E" w:rsidRDefault="00F524FC">
      <w:pPr>
        <w:pStyle w:val="Heading2"/>
        <w:spacing w:before="240" w:after="80"/>
      </w:pPr>
      <w:r>
        <w:rPr>
          <w:rFonts w:ascii="Calibri" w:hAnsi="Calibri"/>
          <w:color w:val="000000"/>
          <w:sz w:val="23"/>
        </w:rPr>
        <w:t>5.1 Next-Bar Execution &amp; Causal Timing</w:t>
      </w:r>
    </w:p>
    <w:p w14:paraId="6767EC48" w14:textId="77777777" w:rsidR="00F9121E" w:rsidRDefault="00F524FC">
      <w:pPr>
        <w:spacing w:after="90"/>
      </w:pPr>
      <w:r>
        <w:rPr>
          <w:rFonts w:ascii="Calibri" w:hAnsi="Calibri"/>
          <w:color w:val="2D2D2D"/>
          <w:sz w:val="20"/>
        </w:rPr>
        <w:t>The backtest engine executes strictly on the Open price following signal generation: if LightGBM probability p_hat_t &gt;= p_entry at bar t Close, a long position is queued and filled at bar t+1 Open at price P_entry = Open_{t+1} * (1 + slip). Same-bar fill prices are prohibited. The first trade on test bar 0 utilizes causal prefix context (probability and regime state) evaluated at the final session of the Development partition (t=-1), ensuring seamless multi-year continuity.</w:t>
      </w:r>
    </w:p>
    <w:p w14:paraId="18E06CE3" w14:textId="77777777" w:rsidR="00F9121E" w:rsidRDefault="00F524FC">
      <w:pPr>
        <w:pStyle w:val="Heading2"/>
        <w:spacing w:before="240" w:after="80"/>
      </w:pPr>
      <w:r>
        <w:rPr>
          <w:rFonts w:ascii="Calibri" w:hAnsi="Calibri"/>
          <w:color w:val="000000"/>
          <w:sz w:val="23"/>
        </w:rPr>
        <w:t xml:space="preserve">5.2 </w:t>
      </w:r>
      <w:r>
        <w:rPr>
          <w:rFonts w:ascii="Calibri" w:hAnsi="Calibri"/>
          <w:color w:val="000000"/>
          <w:sz w:val="23"/>
        </w:rPr>
        <w:t>Intrabar Bracket Ordering &amp; Friction Policies</w:t>
      </w:r>
    </w:p>
    <w:p w14:paraId="74BDF510" w14:textId="77777777" w:rsidR="00F9121E" w:rsidRDefault="00F524FC">
      <w:pPr>
        <w:spacing w:after="90"/>
      </w:pPr>
      <w:r>
        <w:rPr>
          <w:rFonts w:ascii="Calibri" w:hAnsi="Calibri"/>
          <w:color w:val="2D2D2D"/>
          <w:sz w:val="20"/>
        </w:rPr>
        <w:t>To avoid optimistic fill bias, the simulator enforces strict intraday priority rules: (1) Stop-Loss Priority: If the session Low touches the stop-loss and the session High touches the take-profit on the same day, the stop-loss is prioritized; (2) Opening Gaps: Opening gap downs below the stop price execute at the open price with slippage penalty; (3) Zero-Volume Prohibition: Zero-volume bars cannot execute trades; (4) Scheduled Fold-End Liquidation: Prohibits new position entries on the final tradable sessi</w:t>
      </w:r>
      <w:r>
        <w:rPr>
          <w:rFonts w:ascii="Calibri" w:hAnsi="Calibri"/>
          <w:color w:val="2D2D2D"/>
          <w:sz w:val="20"/>
        </w:rPr>
        <w:t>on (i &lt; last_tradable_idx) and liquidates open positions at final session Close; (5) Transaction Costs: Standard friction is 0.05% commission and 0.05% slippage per side (approximately 10 bps per side, 20 bps round-trip); sensitivity testing doubles both components to 0.10% commission and 0.10% slippage per side (0.20% per side, approximately 40 bps round-trip).</w:t>
      </w:r>
    </w:p>
    <w:p w14:paraId="366F5449" w14:textId="77777777" w:rsidR="00F9121E" w:rsidRDefault="00F524FC">
      <w:pPr>
        <w:pStyle w:val="Heading1"/>
        <w:spacing w:before="360" w:after="120"/>
      </w:pPr>
      <w:bookmarkStart w:id="5" w:name="_Toc242739352"/>
      <w:r>
        <w:rPr>
          <w:rFonts w:ascii="Calibri" w:hAnsi="Calibri"/>
          <w:color w:val="000000"/>
          <w:sz w:val="24"/>
        </w:rPr>
        <w:t>CHAPTER 6</w:t>
      </w:r>
      <w:r>
        <w:rPr>
          <w:rFonts w:ascii="Calibri" w:hAnsi="Calibri"/>
          <w:color w:val="000000"/>
          <w:sz w:val="24"/>
        </w:rPr>
        <w:br/>
      </w:r>
      <w:r>
        <w:rPr>
          <w:rFonts w:ascii="Calibri" w:hAnsi="Calibri"/>
          <w:color w:val="000000"/>
          <w:sz w:val="30"/>
        </w:rPr>
        <w:t>Empirical Results &amp; Comparative Evaluation</w:t>
      </w:r>
      <w:bookmarkEnd w:id="5"/>
    </w:p>
    <w:p w14:paraId="68013687" w14:textId="77777777" w:rsidR="00F9121E" w:rsidRDefault="00F524FC">
      <w:pPr>
        <w:pStyle w:val="Heading2"/>
        <w:spacing w:before="240" w:after="80"/>
      </w:pPr>
      <w:r>
        <w:rPr>
          <w:rFonts w:ascii="Calibri" w:hAnsi="Calibri"/>
          <w:color w:val="000000"/>
          <w:sz w:val="23"/>
        </w:rPr>
        <w:t>6.1 Classification Performance &amp; Model Diagnostics</w:t>
      </w:r>
    </w:p>
    <w:p w14:paraId="1195DA39" w14:textId="77777777" w:rsidR="00F9121E" w:rsidRDefault="00F524FC">
      <w:pPr>
        <w:spacing w:after="90"/>
      </w:pPr>
      <w:r>
        <w:rPr>
          <w:rFonts w:ascii="Calibri" w:hAnsi="Calibri"/>
          <w:color w:val="2D2D2D"/>
          <w:sz w:val="20"/>
        </w:rPr>
        <w:t xml:space="preserve">All LightGBM classifiers were fitted with parameters: num_boost_round=250, early_stopping=30, learning_rate=0.03, max_depth=5, and num_leaves=24 on historical training and validation partitions. The final 3 </w:t>
      </w:r>
      <w:r>
        <w:rPr>
          <w:rFonts w:ascii="Calibri" w:hAnsi="Calibri"/>
          <w:color w:val="2D2D2D"/>
          <w:sz w:val="20"/>
        </w:rPr>
        <w:lastRenderedPageBreak/>
        <w:t>bars of each annual test fold were masked from classification scoring because their 3-day forward targets extend beyond the fold window. Table 6.1 details out-of-sample classification performance across all 18 annual folds. Across the entire campaign, the classifier achieved an average out-of-sample AUC of 0.5324, an accuracy of 52.68% (compared to the training-class majority base rate of 52.66%), and no Brier score improvement (0.2501 vs baseline 0.2500). Asset-specific mean AUCs were 0.5469 for RELIANCE.N</w:t>
      </w:r>
      <w:r>
        <w:rPr>
          <w:rFonts w:ascii="Calibri" w:hAnsi="Calibri"/>
          <w:color w:val="2D2D2D"/>
          <w:sz w:val="20"/>
        </w:rPr>
        <w:t>S, 0.5304 for TCS.NS, and 0.5199 for INFY.NS. These metrics reflect a small average AUC above 0.5, near-equal accuracy to majority training priors, and no Brier score improvement in liquid Indian equity markets.</w:t>
      </w:r>
    </w:p>
    <w:tbl>
      <w:tblPr>
        <w:tblW w:w="0" w:type="auto"/>
        <w:jc w:val="center"/>
        <w:tblBorders>
          <w:top w:val="single" w:sz="6" w:space="0" w:color="888888"/>
          <w:bottom w:val="single" w:sz="6" w:space="0" w:color="888888"/>
          <w:insideH w:val="single" w:sz="4" w:space="0" w:color="CCCCCC"/>
        </w:tblBorders>
        <w:tblLayout w:type="fixed"/>
        <w:tblLook w:val="04A0" w:firstRow="1" w:lastRow="0" w:firstColumn="1" w:lastColumn="0" w:noHBand="0" w:noVBand="1"/>
      </w:tblPr>
      <w:tblGrid>
        <w:gridCol w:w="1872"/>
        <w:gridCol w:w="1152"/>
        <w:gridCol w:w="1152"/>
        <w:gridCol w:w="1152"/>
        <w:gridCol w:w="1152"/>
        <w:gridCol w:w="1152"/>
        <w:gridCol w:w="1152"/>
        <w:gridCol w:w="1008"/>
      </w:tblGrid>
      <w:tr w:rsidR="00F9121E" w14:paraId="5B68127D" w14:textId="77777777">
        <w:trPr>
          <w:jc w:val="center"/>
        </w:trPr>
        <w:tc>
          <w:tcPr>
            <w:tcW w:w="1872" w:type="dxa"/>
            <w:shd w:val="clear" w:color="auto" w:fill="F2F2F2"/>
          </w:tcPr>
          <w:p w14:paraId="3CE175E1" w14:textId="77777777" w:rsidR="00F9121E" w:rsidRDefault="00F524FC">
            <w:pPr>
              <w:spacing w:before="40" w:after="40" w:line="252" w:lineRule="auto"/>
              <w:jc w:val="center"/>
            </w:pPr>
            <w:r>
              <w:rPr>
                <w:rFonts w:ascii="Calibri" w:hAnsi="Calibri"/>
                <w:b/>
                <w:color w:val="000000"/>
                <w:sz w:val="17"/>
              </w:rPr>
              <w:t>Asset</w:t>
            </w:r>
          </w:p>
        </w:tc>
        <w:tc>
          <w:tcPr>
            <w:tcW w:w="1152" w:type="dxa"/>
            <w:shd w:val="clear" w:color="auto" w:fill="F2F2F2"/>
          </w:tcPr>
          <w:p w14:paraId="307402EB" w14:textId="77777777" w:rsidR="00F9121E" w:rsidRDefault="00F524FC">
            <w:pPr>
              <w:spacing w:before="40" w:after="40" w:line="252" w:lineRule="auto"/>
              <w:jc w:val="center"/>
            </w:pPr>
            <w:r>
              <w:rPr>
                <w:rFonts w:ascii="Calibri" w:hAnsi="Calibri"/>
                <w:b/>
                <w:color w:val="000000"/>
                <w:sz w:val="17"/>
              </w:rPr>
              <w:t>Mean AUC</w:t>
            </w:r>
          </w:p>
        </w:tc>
        <w:tc>
          <w:tcPr>
            <w:tcW w:w="1152" w:type="dxa"/>
            <w:shd w:val="clear" w:color="auto" w:fill="F2F2F2"/>
          </w:tcPr>
          <w:p w14:paraId="6DA0C477" w14:textId="77777777" w:rsidR="00F9121E" w:rsidRDefault="00F524FC">
            <w:pPr>
              <w:spacing w:before="40" w:after="40" w:line="252" w:lineRule="auto"/>
              <w:jc w:val="center"/>
            </w:pPr>
            <w:r>
              <w:rPr>
                <w:rFonts w:ascii="Calibri" w:hAnsi="Calibri"/>
                <w:b/>
                <w:color w:val="000000"/>
                <w:sz w:val="17"/>
              </w:rPr>
              <w:t>Min AUC</w:t>
            </w:r>
          </w:p>
        </w:tc>
        <w:tc>
          <w:tcPr>
            <w:tcW w:w="1152" w:type="dxa"/>
            <w:shd w:val="clear" w:color="auto" w:fill="F2F2F2"/>
          </w:tcPr>
          <w:p w14:paraId="4B9DF3EE" w14:textId="77777777" w:rsidR="00F9121E" w:rsidRDefault="00F524FC">
            <w:pPr>
              <w:spacing w:before="40" w:after="40" w:line="252" w:lineRule="auto"/>
              <w:jc w:val="center"/>
            </w:pPr>
            <w:r>
              <w:rPr>
                <w:rFonts w:ascii="Calibri" w:hAnsi="Calibri"/>
                <w:b/>
                <w:color w:val="000000"/>
                <w:sz w:val="17"/>
              </w:rPr>
              <w:t>Max AUC</w:t>
            </w:r>
          </w:p>
        </w:tc>
        <w:tc>
          <w:tcPr>
            <w:tcW w:w="1152" w:type="dxa"/>
            <w:shd w:val="clear" w:color="auto" w:fill="F2F2F2"/>
          </w:tcPr>
          <w:p w14:paraId="05A3BE1E" w14:textId="77777777" w:rsidR="00F9121E" w:rsidRDefault="00F524FC">
            <w:pPr>
              <w:spacing w:before="40" w:after="40" w:line="252" w:lineRule="auto"/>
              <w:jc w:val="center"/>
            </w:pPr>
            <w:r>
              <w:rPr>
                <w:rFonts w:ascii="Calibri" w:hAnsi="Calibri"/>
                <w:b/>
                <w:color w:val="000000"/>
                <w:sz w:val="17"/>
              </w:rPr>
              <w:t>Test Acc</w:t>
            </w:r>
          </w:p>
        </w:tc>
        <w:tc>
          <w:tcPr>
            <w:tcW w:w="1152" w:type="dxa"/>
            <w:shd w:val="clear" w:color="auto" w:fill="F2F2F2"/>
          </w:tcPr>
          <w:p w14:paraId="75C13167" w14:textId="77777777" w:rsidR="00F9121E" w:rsidRDefault="00F524FC">
            <w:pPr>
              <w:spacing w:before="40" w:after="40" w:line="252" w:lineRule="auto"/>
              <w:jc w:val="center"/>
            </w:pPr>
            <w:r>
              <w:rPr>
                <w:rFonts w:ascii="Calibri" w:hAnsi="Calibri"/>
                <w:b/>
                <w:color w:val="000000"/>
                <w:sz w:val="17"/>
              </w:rPr>
              <w:t>Base Acc</w:t>
            </w:r>
          </w:p>
        </w:tc>
        <w:tc>
          <w:tcPr>
            <w:tcW w:w="1152" w:type="dxa"/>
            <w:shd w:val="clear" w:color="auto" w:fill="F2F2F2"/>
          </w:tcPr>
          <w:p w14:paraId="0F913894" w14:textId="77777777" w:rsidR="00F9121E" w:rsidRDefault="00F524FC">
            <w:pPr>
              <w:spacing w:before="40" w:after="40" w:line="252" w:lineRule="auto"/>
              <w:jc w:val="center"/>
            </w:pPr>
            <w:r>
              <w:rPr>
                <w:rFonts w:ascii="Calibri" w:hAnsi="Calibri"/>
                <w:b/>
                <w:color w:val="000000"/>
                <w:sz w:val="17"/>
              </w:rPr>
              <w:t>Brier</w:t>
            </w:r>
          </w:p>
        </w:tc>
        <w:tc>
          <w:tcPr>
            <w:tcW w:w="1008" w:type="dxa"/>
            <w:shd w:val="clear" w:color="auto" w:fill="F2F2F2"/>
          </w:tcPr>
          <w:p w14:paraId="5134387E" w14:textId="77777777" w:rsidR="00F9121E" w:rsidRDefault="00F524FC">
            <w:pPr>
              <w:spacing w:before="40" w:after="40" w:line="252" w:lineRule="auto"/>
              <w:jc w:val="center"/>
            </w:pPr>
            <w:r>
              <w:rPr>
                <w:rFonts w:ascii="Calibri" w:hAnsi="Calibri"/>
                <w:b/>
                <w:color w:val="000000"/>
                <w:sz w:val="17"/>
              </w:rPr>
              <w:t>Scored N</w:t>
            </w:r>
          </w:p>
        </w:tc>
      </w:tr>
      <w:tr w:rsidR="00F9121E" w14:paraId="04332535" w14:textId="77777777">
        <w:trPr>
          <w:jc w:val="center"/>
        </w:trPr>
        <w:tc>
          <w:tcPr>
            <w:tcW w:w="1872" w:type="dxa"/>
          </w:tcPr>
          <w:p w14:paraId="429A21A6" w14:textId="77777777" w:rsidR="00F9121E" w:rsidRDefault="00F524FC">
            <w:pPr>
              <w:spacing w:before="40" w:after="40" w:line="252" w:lineRule="auto"/>
            </w:pPr>
            <w:r>
              <w:rPr>
                <w:rFonts w:ascii="Calibri" w:hAnsi="Calibri"/>
                <w:color w:val="2D2D2D"/>
                <w:sz w:val="17"/>
              </w:rPr>
              <w:t>RELIANCE.NS</w:t>
            </w:r>
          </w:p>
        </w:tc>
        <w:tc>
          <w:tcPr>
            <w:tcW w:w="1152" w:type="dxa"/>
          </w:tcPr>
          <w:p w14:paraId="2E09A7C9" w14:textId="77777777" w:rsidR="00F9121E" w:rsidRDefault="00F524FC">
            <w:pPr>
              <w:spacing w:before="40" w:after="40" w:line="252" w:lineRule="auto"/>
              <w:jc w:val="center"/>
            </w:pPr>
            <w:r>
              <w:rPr>
                <w:rFonts w:ascii="Calibri" w:hAnsi="Calibri"/>
                <w:color w:val="2D2D2D"/>
                <w:sz w:val="17"/>
              </w:rPr>
              <w:t>0.5469</w:t>
            </w:r>
          </w:p>
        </w:tc>
        <w:tc>
          <w:tcPr>
            <w:tcW w:w="1152" w:type="dxa"/>
          </w:tcPr>
          <w:p w14:paraId="437692A0" w14:textId="77777777" w:rsidR="00F9121E" w:rsidRDefault="00F524FC">
            <w:pPr>
              <w:spacing w:before="40" w:after="40" w:line="252" w:lineRule="auto"/>
              <w:jc w:val="center"/>
            </w:pPr>
            <w:r>
              <w:rPr>
                <w:rFonts w:ascii="Calibri" w:hAnsi="Calibri"/>
                <w:color w:val="2D2D2D"/>
                <w:sz w:val="17"/>
              </w:rPr>
              <w:t>0.4415</w:t>
            </w:r>
          </w:p>
        </w:tc>
        <w:tc>
          <w:tcPr>
            <w:tcW w:w="1152" w:type="dxa"/>
          </w:tcPr>
          <w:p w14:paraId="36E3DE57" w14:textId="77777777" w:rsidR="00F9121E" w:rsidRDefault="00F524FC">
            <w:pPr>
              <w:spacing w:before="40" w:after="40" w:line="252" w:lineRule="auto"/>
              <w:jc w:val="center"/>
            </w:pPr>
            <w:r>
              <w:rPr>
                <w:rFonts w:ascii="Calibri" w:hAnsi="Calibri"/>
                <w:color w:val="2D2D2D"/>
                <w:sz w:val="17"/>
              </w:rPr>
              <w:t>0.6246</w:t>
            </w:r>
          </w:p>
        </w:tc>
        <w:tc>
          <w:tcPr>
            <w:tcW w:w="1152" w:type="dxa"/>
          </w:tcPr>
          <w:p w14:paraId="5ED57DC1" w14:textId="77777777" w:rsidR="00F9121E" w:rsidRDefault="00F524FC">
            <w:pPr>
              <w:spacing w:before="40" w:after="40" w:line="252" w:lineRule="auto"/>
              <w:jc w:val="center"/>
            </w:pPr>
            <w:r>
              <w:rPr>
                <w:rFonts w:ascii="Calibri" w:hAnsi="Calibri"/>
                <w:color w:val="2D2D2D"/>
                <w:sz w:val="17"/>
              </w:rPr>
              <w:t>52.01%</w:t>
            </w:r>
          </w:p>
        </w:tc>
        <w:tc>
          <w:tcPr>
            <w:tcW w:w="1152" w:type="dxa"/>
          </w:tcPr>
          <w:p w14:paraId="3F464043" w14:textId="77777777" w:rsidR="00F9121E" w:rsidRDefault="00F524FC">
            <w:pPr>
              <w:spacing w:before="40" w:after="40" w:line="252" w:lineRule="auto"/>
              <w:jc w:val="center"/>
            </w:pPr>
            <w:r>
              <w:rPr>
                <w:rFonts w:ascii="Calibri" w:hAnsi="Calibri"/>
                <w:color w:val="2D2D2D"/>
                <w:sz w:val="17"/>
              </w:rPr>
              <w:t>52.21%</w:t>
            </w:r>
          </w:p>
        </w:tc>
        <w:tc>
          <w:tcPr>
            <w:tcW w:w="1152" w:type="dxa"/>
          </w:tcPr>
          <w:p w14:paraId="051C1A71" w14:textId="77777777" w:rsidR="00F9121E" w:rsidRDefault="00F524FC">
            <w:pPr>
              <w:spacing w:before="40" w:after="40" w:line="252" w:lineRule="auto"/>
              <w:jc w:val="center"/>
            </w:pPr>
            <w:r>
              <w:rPr>
                <w:rFonts w:ascii="Calibri" w:hAnsi="Calibri"/>
                <w:color w:val="2D2D2D"/>
                <w:sz w:val="17"/>
              </w:rPr>
              <w:t>0.2494</w:t>
            </w:r>
          </w:p>
        </w:tc>
        <w:tc>
          <w:tcPr>
            <w:tcW w:w="1008" w:type="dxa"/>
          </w:tcPr>
          <w:p w14:paraId="222F1B33" w14:textId="77777777" w:rsidR="00F9121E" w:rsidRDefault="00F524FC">
            <w:pPr>
              <w:spacing w:before="40" w:after="40" w:line="252" w:lineRule="auto"/>
              <w:jc w:val="center"/>
            </w:pPr>
            <w:r>
              <w:rPr>
                <w:rFonts w:ascii="Calibri" w:hAnsi="Calibri"/>
                <w:color w:val="2D2D2D"/>
                <w:sz w:val="17"/>
              </w:rPr>
              <w:t>244.8</w:t>
            </w:r>
          </w:p>
        </w:tc>
      </w:tr>
      <w:tr w:rsidR="00F9121E" w14:paraId="6B096D28" w14:textId="77777777">
        <w:trPr>
          <w:jc w:val="center"/>
        </w:trPr>
        <w:tc>
          <w:tcPr>
            <w:tcW w:w="1872" w:type="dxa"/>
          </w:tcPr>
          <w:p w14:paraId="39272624" w14:textId="77777777" w:rsidR="00F9121E" w:rsidRDefault="00F524FC">
            <w:pPr>
              <w:spacing w:before="40" w:after="40" w:line="252" w:lineRule="auto"/>
            </w:pPr>
            <w:r>
              <w:rPr>
                <w:rFonts w:ascii="Calibri" w:hAnsi="Calibri"/>
                <w:color w:val="2D2D2D"/>
                <w:sz w:val="17"/>
              </w:rPr>
              <w:t>TCS.NS</w:t>
            </w:r>
          </w:p>
        </w:tc>
        <w:tc>
          <w:tcPr>
            <w:tcW w:w="1152" w:type="dxa"/>
          </w:tcPr>
          <w:p w14:paraId="2DEEFC49" w14:textId="77777777" w:rsidR="00F9121E" w:rsidRDefault="00F524FC">
            <w:pPr>
              <w:spacing w:before="40" w:after="40" w:line="252" w:lineRule="auto"/>
              <w:jc w:val="center"/>
            </w:pPr>
            <w:r>
              <w:rPr>
                <w:rFonts w:ascii="Calibri" w:hAnsi="Calibri"/>
                <w:color w:val="2D2D2D"/>
                <w:sz w:val="17"/>
              </w:rPr>
              <w:t>0.5304</w:t>
            </w:r>
          </w:p>
        </w:tc>
        <w:tc>
          <w:tcPr>
            <w:tcW w:w="1152" w:type="dxa"/>
          </w:tcPr>
          <w:p w14:paraId="445141C1" w14:textId="77777777" w:rsidR="00F9121E" w:rsidRDefault="00F524FC">
            <w:pPr>
              <w:spacing w:before="40" w:after="40" w:line="252" w:lineRule="auto"/>
              <w:jc w:val="center"/>
            </w:pPr>
            <w:r>
              <w:rPr>
                <w:rFonts w:ascii="Calibri" w:hAnsi="Calibri"/>
                <w:color w:val="2D2D2D"/>
                <w:sz w:val="17"/>
              </w:rPr>
              <w:t>0.4774</w:t>
            </w:r>
          </w:p>
        </w:tc>
        <w:tc>
          <w:tcPr>
            <w:tcW w:w="1152" w:type="dxa"/>
          </w:tcPr>
          <w:p w14:paraId="7C545CA8" w14:textId="77777777" w:rsidR="00F9121E" w:rsidRDefault="00F524FC">
            <w:pPr>
              <w:spacing w:before="40" w:after="40" w:line="252" w:lineRule="auto"/>
              <w:jc w:val="center"/>
            </w:pPr>
            <w:r>
              <w:rPr>
                <w:rFonts w:ascii="Calibri" w:hAnsi="Calibri"/>
                <w:color w:val="2D2D2D"/>
                <w:sz w:val="17"/>
              </w:rPr>
              <w:t>0.6182</w:t>
            </w:r>
          </w:p>
        </w:tc>
        <w:tc>
          <w:tcPr>
            <w:tcW w:w="1152" w:type="dxa"/>
          </w:tcPr>
          <w:p w14:paraId="4B73872D" w14:textId="77777777" w:rsidR="00F9121E" w:rsidRDefault="00F524FC">
            <w:pPr>
              <w:spacing w:before="40" w:after="40" w:line="252" w:lineRule="auto"/>
              <w:jc w:val="center"/>
            </w:pPr>
            <w:r>
              <w:rPr>
                <w:rFonts w:ascii="Calibri" w:hAnsi="Calibri"/>
                <w:color w:val="2D2D2D"/>
                <w:sz w:val="17"/>
              </w:rPr>
              <w:t>50.91%</w:t>
            </w:r>
          </w:p>
        </w:tc>
        <w:tc>
          <w:tcPr>
            <w:tcW w:w="1152" w:type="dxa"/>
          </w:tcPr>
          <w:p w14:paraId="2A15A3CA" w14:textId="77777777" w:rsidR="00F9121E" w:rsidRDefault="00F524FC">
            <w:pPr>
              <w:spacing w:before="40" w:after="40" w:line="252" w:lineRule="auto"/>
              <w:jc w:val="center"/>
            </w:pPr>
            <w:r>
              <w:rPr>
                <w:rFonts w:ascii="Calibri" w:hAnsi="Calibri"/>
                <w:color w:val="2D2D2D"/>
                <w:sz w:val="17"/>
              </w:rPr>
              <w:t>50.78%</w:t>
            </w:r>
          </w:p>
        </w:tc>
        <w:tc>
          <w:tcPr>
            <w:tcW w:w="1152" w:type="dxa"/>
          </w:tcPr>
          <w:p w14:paraId="1B393914" w14:textId="77777777" w:rsidR="00F9121E" w:rsidRDefault="00F524FC">
            <w:pPr>
              <w:spacing w:before="40" w:after="40" w:line="252" w:lineRule="auto"/>
              <w:jc w:val="center"/>
            </w:pPr>
            <w:r>
              <w:rPr>
                <w:rFonts w:ascii="Calibri" w:hAnsi="Calibri"/>
                <w:color w:val="2D2D2D"/>
                <w:sz w:val="17"/>
              </w:rPr>
              <w:t>0.2516</w:t>
            </w:r>
          </w:p>
        </w:tc>
        <w:tc>
          <w:tcPr>
            <w:tcW w:w="1008" w:type="dxa"/>
          </w:tcPr>
          <w:p w14:paraId="7D4F6CAF" w14:textId="77777777" w:rsidR="00F9121E" w:rsidRDefault="00F524FC">
            <w:pPr>
              <w:spacing w:before="40" w:after="40" w:line="252" w:lineRule="auto"/>
              <w:jc w:val="center"/>
            </w:pPr>
            <w:r>
              <w:rPr>
                <w:rFonts w:ascii="Calibri" w:hAnsi="Calibri"/>
                <w:color w:val="2D2D2D"/>
                <w:sz w:val="17"/>
              </w:rPr>
              <w:t>244.8</w:t>
            </w:r>
          </w:p>
        </w:tc>
      </w:tr>
      <w:tr w:rsidR="00F9121E" w14:paraId="61113AFC" w14:textId="77777777">
        <w:trPr>
          <w:jc w:val="center"/>
        </w:trPr>
        <w:tc>
          <w:tcPr>
            <w:tcW w:w="1872" w:type="dxa"/>
          </w:tcPr>
          <w:p w14:paraId="63AD93D6" w14:textId="77777777" w:rsidR="00F9121E" w:rsidRDefault="00F524FC">
            <w:pPr>
              <w:spacing w:before="40" w:after="40" w:line="252" w:lineRule="auto"/>
            </w:pPr>
            <w:r>
              <w:rPr>
                <w:rFonts w:ascii="Calibri" w:hAnsi="Calibri"/>
                <w:color w:val="2D2D2D"/>
                <w:sz w:val="17"/>
              </w:rPr>
              <w:t>INFY.NS</w:t>
            </w:r>
          </w:p>
        </w:tc>
        <w:tc>
          <w:tcPr>
            <w:tcW w:w="1152" w:type="dxa"/>
          </w:tcPr>
          <w:p w14:paraId="150D5FC6" w14:textId="77777777" w:rsidR="00F9121E" w:rsidRDefault="00F524FC">
            <w:pPr>
              <w:spacing w:before="40" w:after="40" w:line="252" w:lineRule="auto"/>
              <w:jc w:val="center"/>
            </w:pPr>
            <w:r>
              <w:rPr>
                <w:rFonts w:ascii="Calibri" w:hAnsi="Calibri"/>
                <w:color w:val="2D2D2D"/>
                <w:sz w:val="17"/>
              </w:rPr>
              <w:t>0.5199</w:t>
            </w:r>
          </w:p>
        </w:tc>
        <w:tc>
          <w:tcPr>
            <w:tcW w:w="1152" w:type="dxa"/>
          </w:tcPr>
          <w:p w14:paraId="3D1FD90A" w14:textId="77777777" w:rsidR="00F9121E" w:rsidRDefault="00F524FC">
            <w:pPr>
              <w:spacing w:before="40" w:after="40" w:line="252" w:lineRule="auto"/>
              <w:jc w:val="center"/>
            </w:pPr>
            <w:r>
              <w:rPr>
                <w:rFonts w:ascii="Calibri" w:hAnsi="Calibri"/>
                <w:color w:val="2D2D2D"/>
                <w:sz w:val="17"/>
              </w:rPr>
              <w:t>0.4509</w:t>
            </w:r>
          </w:p>
        </w:tc>
        <w:tc>
          <w:tcPr>
            <w:tcW w:w="1152" w:type="dxa"/>
          </w:tcPr>
          <w:p w14:paraId="09D6319F" w14:textId="77777777" w:rsidR="00F9121E" w:rsidRDefault="00F524FC">
            <w:pPr>
              <w:spacing w:before="40" w:after="40" w:line="252" w:lineRule="auto"/>
              <w:jc w:val="center"/>
            </w:pPr>
            <w:r>
              <w:rPr>
                <w:rFonts w:ascii="Calibri" w:hAnsi="Calibri"/>
                <w:color w:val="2D2D2D"/>
                <w:sz w:val="17"/>
              </w:rPr>
              <w:t>0.5766</w:t>
            </w:r>
          </w:p>
        </w:tc>
        <w:tc>
          <w:tcPr>
            <w:tcW w:w="1152" w:type="dxa"/>
          </w:tcPr>
          <w:p w14:paraId="793A6432" w14:textId="77777777" w:rsidR="00F9121E" w:rsidRDefault="00F524FC">
            <w:pPr>
              <w:spacing w:before="40" w:after="40" w:line="252" w:lineRule="auto"/>
              <w:jc w:val="center"/>
            </w:pPr>
            <w:r>
              <w:rPr>
                <w:rFonts w:ascii="Calibri" w:hAnsi="Calibri"/>
                <w:color w:val="2D2D2D"/>
                <w:sz w:val="17"/>
              </w:rPr>
              <w:t>55.12%</w:t>
            </w:r>
          </w:p>
        </w:tc>
        <w:tc>
          <w:tcPr>
            <w:tcW w:w="1152" w:type="dxa"/>
          </w:tcPr>
          <w:p w14:paraId="5022BE49" w14:textId="77777777" w:rsidR="00F9121E" w:rsidRDefault="00F524FC">
            <w:pPr>
              <w:spacing w:before="40" w:after="40" w:line="252" w:lineRule="auto"/>
              <w:jc w:val="center"/>
            </w:pPr>
            <w:r>
              <w:rPr>
                <w:rFonts w:ascii="Calibri" w:hAnsi="Calibri"/>
                <w:color w:val="2D2D2D"/>
                <w:sz w:val="17"/>
              </w:rPr>
              <w:t>54.99%</w:t>
            </w:r>
          </w:p>
        </w:tc>
        <w:tc>
          <w:tcPr>
            <w:tcW w:w="1152" w:type="dxa"/>
          </w:tcPr>
          <w:p w14:paraId="5FEAD48E" w14:textId="77777777" w:rsidR="00F9121E" w:rsidRDefault="00F524FC">
            <w:pPr>
              <w:spacing w:before="40" w:after="40" w:line="252" w:lineRule="auto"/>
              <w:jc w:val="center"/>
            </w:pPr>
            <w:r>
              <w:rPr>
                <w:rFonts w:ascii="Calibri" w:hAnsi="Calibri"/>
                <w:color w:val="2D2D2D"/>
                <w:sz w:val="17"/>
              </w:rPr>
              <w:t>0.2493</w:t>
            </w:r>
          </w:p>
        </w:tc>
        <w:tc>
          <w:tcPr>
            <w:tcW w:w="1008" w:type="dxa"/>
          </w:tcPr>
          <w:p w14:paraId="4EE923DA" w14:textId="77777777" w:rsidR="00F9121E" w:rsidRDefault="00F524FC">
            <w:pPr>
              <w:spacing w:before="40" w:after="40" w:line="252" w:lineRule="auto"/>
              <w:jc w:val="center"/>
            </w:pPr>
            <w:r>
              <w:rPr>
                <w:rFonts w:ascii="Calibri" w:hAnsi="Calibri"/>
                <w:color w:val="2D2D2D"/>
                <w:sz w:val="17"/>
              </w:rPr>
              <w:t>244.8</w:t>
            </w:r>
          </w:p>
        </w:tc>
      </w:tr>
    </w:tbl>
    <w:p w14:paraId="6D10B8C0" w14:textId="77777777" w:rsidR="00F9121E" w:rsidRDefault="00F524FC">
      <w:pPr>
        <w:spacing w:before="40" w:after="120"/>
      </w:pPr>
      <w:r>
        <w:rPr>
          <w:i/>
          <w:color w:val="6E6E6E"/>
          <w:sz w:val="17"/>
        </w:rPr>
        <w:t>Table 6.1. LightGBM out-of-sample directional classification performance across 18 annual folds (2020–2025).</w:t>
      </w:r>
    </w:p>
    <w:p w14:paraId="358C8A79" w14:textId="77777777" w:rsidR="00F9121E" w:rsidRDefault="00F524FC">
      <w:pPr>
        <w:pStyle w:val="Heading2"/>
        <w:spacing w:before="240" w:after="80"/>
      </w:pPr>
      <w:r>
        <w:rPr>
          <w:rFonts w:ascii="Calibri" w:hAnsi="Calibri"/>
          <w:color w:val="000000"/>
          <w:sz w:val="23"/>
        </w:rPr>
        <w:t>6.2 Stitched Multi-Year Compounded Returns</w:t>
      </w:r>
    </w:p>
    <w:p w14:paraId="6BA90D03" w14:textId="77777777" w:rsidR="00F9121E" w:rsidRDefault="00F524FC">
      <w:pPr>
        <w:spacing w:after="90"/>
      </w:pPr>
      <w:r>
        <w:rPr>
          <w:rFonts w:ascii="Calibri" w:hAnsi="Calibri"/>
          <w:color w:val="2D2D2D"/>
          <w:sz w:val="20"/>
        </w:rPr>
        <w:t>Stitched multi-year curves carry capital forward across test folds by compounding annual net wealth ratios starting from ₹100,000 on 2020-01-01 across 1,487 trading bars through 2025-12-31. Note that Buy &amp; Hold is evaluated under an annually liquidated and re-entered convention at fold boundaries matching the strategy's annual evaluation, incurring transaction friction each year. Table 6.2 reports terminal compound performance. Multi-seed variants present medians and min-max ranges across all three evolutio</w:t>
      </w:r>
      <w:r>
        <w:rPr>
          <w:rFonts w:ascii="Calibri" w:hAnsi="Calibri"/>
          <w:color w:val="2D2D2D"/>
          <w:sz w:val="20"/>
        </w:rPr>
        <w:t>nary seeds (42, 43, 44); note that metric-wise medians across seeds are evaluated independently per metric and may correspond to different seed runs rather than a single executable median strategy. Across all three assets, Buy &amp; Hold compounded significantly higher final wealth than the Full Hybrid: RELIANCE.NS Buy &amp; Hold grew +128.74% (₹228,740) vs Hybrid Seed Median -0.35% (₹99,652); TCS.NS Buy &amp; Hold grew +65.13% (₹165,134) vs Hybrid Seed Median +25.60% (₹125,600); and INFY.NS Buy &amp; Hold grew +152.78% (₹</w:t>
      </w:r>
      <w:r>
        <w:rPr>
          <w:rFonts w:ascii="Calibri" w:hAnsi="Calibri"/>
          <w:color w:val="2D2D2D"/>
          <w:sz w:val="20"/>
        </w:rPr>
        <w:t>252,783) vs Hybrid Seed Median +9.10% (₹109,103).</w:t>
      </w:r>
    </w:p>
    <w:tbl>
      <w:tblPr>
        <w:tblW w:w="0" w:type="auto"/>
        <w:jc w:val="center"/>
        <w:tblBorders>
          <w:top w:val="single" w:sz="6" w:space="0" w:color="888888"/>
          <w:bottom w:val="single" w:sz="6" w:space="0" w:color="888888"/>
          <w:insideH w:val="single" w:sz="4" w:space="0" w:color="CCCCCC"/>
        </w:tblBorders>
        <w:tblLayout w:type="fixed"/>
        <w:tblLook w:val="04A0" w:firstRow="1" w:lastRow="0" w:firstColumn="1" w:lastColumn="0" w:noHBand="0" w:noVBand="1"/>
      </w:tblPr>
      <w:tblGrid>
        <w:gridCol w:w="1728"/>
        <w:gridCol w:w="2160"/>
        <w:gridCol w:w="1296"/>
        <w:gridCol w:w="1152"/>
        <w:gridCol w:w="1152"/>
        <w:gridCol w:w="1152"/>
        <w:gridCol w:w="1152"/>
      </w:tblGrid>
      <w:tr w:rsidR="00F9121E" w14:paraId="169B9DEE" w14:textId="77777777">
        <w:trPr>
          <w:jc w:val="center"/>
        </w:trPr>
        <w:tc>
          <w:tcPr>
            <w:tcW w:w="1728" w:type="dxa"/>
            <w:shd w:val="clear" w:color="auto" w:fill="F2F2F2"/>
          </w:tcPr>
          <w:p w14:paraId="4F6509C0" w14:textId="77777777" w:rsidR="00F9121E" w:rsidRDefault="00F524FC">
            <w:pPr>
              <w:spacing w:before="40" w:after="40" w:line="252" w:lineRule="auto"/>
              <w:jc w:val="center"/>
            </w:pPr>
            <w:r>
              <w:rPr>
                <w:rFonts w:ascii="Calibri" w:hAnsi="Calibri"/>
                <w:b/>
                <w:color w:val="000000"/>
                <w:sz w:val="17"/>
              </w:rPr>
              <w:t>Asset</w:t>
            </w:r>
          </w:p>
        </w:tc>
        <w:tc>
          <w:tcPr>
            <w:tcW w:w="2160" w:type="dxa"/>
            <w:shd w:val="clear" w:color="auto" w:fill="F2F2F2"/>
          </w:tcPr>
          <w:p w14:paraId="7233E6AF" w14:textId="77777777" w:rsidR="00F9121E" w:rsidRDefault="00F524FC">
            <w:pPr>
              <w:spacing w:before="40" w:after="40" w:line="252" w:lineRule="auto"/>
              <w:jc w:val="center"/>
            </w:pPr>
            <w:r>
              <w:rPr>
                <w:rFonts w:ascii="Calibri" w:hAnsi="Calibri"/>
                <w:b/>
                <w:color w:val="000000"/>
                <w:sz w:val="17"/>
              </w:rPr>
              <w:t>Strategy Variant</w:t>
            </w:r>
          </w:p>
        </w:tc>
        <w:tc>
          <w:tcPr>
            <w:tcW w:w="1296" w:type="dxa"/>
            <w:shd w:val="clear" w:color="auto" w:fill="F2F2F2"/>
          </w:tcPr>
          <w:p w14:paraId="4C25C2E8" w14:textId="77777777" w:rsidR="00F9121E" w:rsidRDefault="00F524FC">
            <w:pPr>
              <w:spacing w:before="40" w:after="40" w:line="252" w:lineRule="auto"/>
              <w:jc w:val="center"/>
            </w:pPr>
            <w:r>
              <w:rPr>
                <w:rFonts w:ascii="Calibri" w:hAnsi="Calibri"/>
                <w:b/>
                <w:color w:val="000000"/>
                <w:sz w:val="17"/>
              </w:rPr>
              <w:t>Total Ret</w:t>
            </w:r>
          </w:p>
        </w:tc>
        <w:tc>
          <w:tcPr>
            <w:tcW w:w="1152" w:type="dxa"/>
            <w:shd w:val="clear" w:color="auto" w:fill="F2F2F2"/>
          </w:tcPr>
          <w:p w14:paraId="5FB31785" w14:textId="77777777" w:rsidR="00F9121E" w:rsidRDefault="00F524FC">
            <w:pPr>
              <w:spacing w:before="40" w:after="40" w:line="252" w:lineRule="auto"/>
              <w:jc w:val="center"/>
            </w:pPr>
            <w:r>
              <w:rPr>
                <w:rFonts w:ascii="Calibri" w:hAnsi="Calibri"/>
                <w:b/>
                <w:color w:val="000000"/>
                <w:sz w:val="17"/>
              </w:rPr>
              <w:t>CAGR</w:t>
            </w:r>
          </w:p>
        </w:tc>
        <w:tc>
          <w:tcPr>
            <w:tcW w:w="1152" w:type="dxa"/>
            <w:shd w:val="clear" w:color="auto" w:fill="F2F2F2"/>
          </w:tcPr>
          <w:p w14:paraId="749A2FF7" w14:textId="77777777" w:rsidR="00F9121E" w:rsidRDefault="00F524FC">
            <w:pPr>
              <w:spacing w:before="40" w:after="40" w:line="252" w:lineRule="auto"/>
              <w:jc w:val="center"/>
            </w:pPr>
            <w:r>
              <w:rPr>
                <w:rFonts w:ascii="Calibri" w:hAnsi="Calibri"/>
                <w:b/>
                <w:color w:val="000000"/>
                <w:sz w:val="17"/>
              </w:rPr>
              <w:t>Sharpe</w:t>
            </w:r>
          </w:p>
        </w:tc>
        <w:tc>
          <w:tcPr>
            <w:tcW w:w="1152" w:type="dxa"/>
            <w:shd w:val="clear" w:color="auto" w:fill="F2F2F2"/>
          </w:tcPr>
          <w:p w14:paraId="5A2F1116" w14:textId="77777777" w:rsidR="00F9121E" w:rsidRDefault="00F524FC">
            <w:pPr>
              <w:spacing w:before="40" w:after="40" w:line="252" w:lineRule="auto"/>
              <w:jc w:val="center"/>
            </w:pPr>
            <w:r>
              <w:rPr>
                <w:rFonts w:ascii="Calibri" w:hAnsi="Calibri"/>
                <w:b/>
                <w:color w:val="000000"/>
                <w:sz w:val="17"/>
              </w:rPr>
              <w:t>MaxDD</w:t>
            </w:r>
          </w:p>
        </w:tc>
        <w:tc>
          <w:tcPr>
            <w:tcW w:w="1152" w:type="dxa"/>
            <w:shd w:val="clear" w:color="auto" w:fill="F2F2F2"/>
          </w:tcPr>
          <w:p w14:paraId="5AAF6AA8" w14:textId="77777777" w:rsidR="00F9121E" w:rsidRDefault="00F524FC">
            <w:pPr>
              <w:spacing w:before="40" w:after="40" w:line="252" w:lineRule="auto"/>
              <w:jc w:val="center"/>
            </w:pPr>
            <w:r>
              <w:rPr>
                <w:rFonts w:ascii="Calibri" w:hAnsi="Calibri"/>
                <w:b/>
                <w:color w:val="000000"/>
                <w:sz w:val="17"/>
              </w:rPr>
              <w:t>Terminal ₹</w:t>
            </w:r>
          </w:p>
        </w:tc>
      </w:tr>
      <w:tr w:rsidR="00F9121E" w14:paraId="4D477AEA" w14:textId="77777777">
        <w:trPr>
          <w:jc w:val="center"/>
        </w:trPr>
        <w:tc>
          <w:tcPr>
            <w:tcW w:w="1728" w:type="dxa"/>
          </w:tcPr>
          <w:p w14:paraId="6B066057" w14:textId="77777777" w:rsidR="00F9121E" w:rsidRDefault="00F524FC">
            <w:pPr>
              <w:spacing w:before="40" w:after="40" w:line="252" w:lineRule="auto"/>
            </w:pPr>
            <w:r>
              <w:rPr>
                <w:rFonts w:ascii="Calibri" w:hAnsi="Calibri"/>
                <w:b/>
                <w:color w:val="2D2D2D"/>
                <w:sz w:val="17"/>
              </w:rPr>
              <w:t>RELIANCE.NS</w:t>
            </w:r>
          </w:p>
        </w:tc>
        <w:tc>
          <w:tcPr>
            <w:tcW w:w="2160" w:type="dxa"/>
          </w:tcPr>
          <w:p w14:paraId="6EAAE23D" w14:textId="77777777" w:rsidR="00F9121E" w:rsidRDefault="00F524FC">
            <w:pPr>
              <w:spacing w:before="40" w:after="40" w:line="252" w:lineRule="auto"/>
            </w:pPr>
            <w:r>
              <w:rPr>
                <w:rFonts w:ascii="Calibri" w:hAnsi="Calibri"/>
                <w:b/>
                <w:color w:val="2D2D2D"/>
                <w:sz w:val="17"/>
              </w:rPr>
              <w:t>Buy &amp; Hold</w:t>
            </w:r>
          </w:p>
        </w:tc>
        <w:tc>
          <w:tcPr>
            <w:tcW w:w="1296" w:type="dxa"/>
          </w:tcPr>
          <w:p w14:paraId="2CB62916" w14:textId="77777777" w:rsidR="00F9121E" w:rsidRDefault="00F524FC">
            <w:pPr>
              <w:spacing w:before="40" w:after="40" w:line="252" w:lineRule="auto"/>
              <w:jc w:val="center"/>
            </w:pPr>
            <w:r>
              <w:rPr>
                <w:rFonts w:ascii="Calibri" w:hAnsi="Calibri"/>
                <w:b/>
                <w:color w:val="2D2D2D"/>
                <w:sz w:val="17"/>
              </w:rPr>
              <w:t>+128.74%</w:t>
            </w:r>
          </w:p>
        </w:tc>
        <w:tc>
          <w:tcPr>
            <w:tcW w:w="1152" w:type="dxa"/>
          </w:tcPr>
          <w:p w14:paraId="6352EC42" w14:textId="77777777" w:rsidR="00F9121E" w:rsidRDefault="00F524FC">
            <w:pPr>
              <w:spacing w:before="40" w:after="40" w:line="252" w:lineRule="auto"/>
              <w:jc w:val="center"/>
            </w:pPr>
            <w:r>
              <w:rPr>
                <w:rFonts w:ascii="Calibri" w:hAnsi="Calibri"/>
                <w:b/>
                <w:color w:val="2D2D2D"/>
                <w:sz w:val="17"/>
              </w:rPr>
              <w:t>15.05%</w:t>
            </w:r>
          </w:p>
        </w:tc>
        <w:tc>
          <w:tcPr>
            <w:tcW w:w="1152" w:type="dxa"/>
          </w:tcPr>
          <w:p w14:paraId="7F3E93D0" w14:textId="77777777" w:rsidR="00F9121E" w:rsidRDefault="00F524FC">
            <w:pPr>
              <w:spacing w:before="40" w:after="40" w:line="252" w:lineRule="auto"/>
              <w:jc w:val="center"/>
            </w:pPr>
            <w:r>
              <w:rPr>
                <w:rFonts w:ascii="Calibri" w:hAnsi="Calibri"/>
                <w:b/>
                <w:color w:val="2D2D2D"/>
                <w:sz w:val="17"/>
              </w:rPr>
              <w:t>0.64</w:t>
            </w:r>
          </w:p>
        </w:tc>
        <w:tc>
          <w:tcPr>
            <w:tcW w:w="1152" w:type="dxa"/>
          </w:tcPr>
          <w:p w14:paraId="1EB98BB9" w14:textId="77777777" w:rsidR="00F9121E" w:rsidRDefault="00F524FC">
            <w:pPr>
              <w:spacing w:before="40" w:after="40" w:line="252" w:lineRule="auto"/>
              <w:jc w:val="center"/>
            </w:pPr>
            <w:r>
              <w:rPr>
                <w:rFonts w:ascii="Calibri" w:hAnsi="Calibri"/>
                <w:b/>
                <w:color w:val="2D2D2D"/>
                <w:sz w:val="17"/>
              </w:rPr>
              <w:t>44.08%</w:t>
            </w:r>
          </w:p>
        </w:tc>
        <w:tc>
          <w:tcPr>
            <w:tcW w:w="1152" w:type="dxa"/>
          </w:tcPr>
          <w:p w14:paraId="4F32071B" w14:textId="77777777" w:rsidR="00F9121E" w:rsidRDefault="00F524FC">
            <w:pPr>
              <w:spacing w:before="40" w:after="40" w:line="252" w:lineRule="auto"/>
              <w:jc w:val="center"/>
            </w:pPr>
            <w:r>
              <w:rPr>
                <w:rFonts w:ascii="Calibri" w:hAnsi="Calibri"/>
                <w:b/>
                <w:color w:val="2D2D2D"/>
                <w:sz w:val="17"/>
              </w:rPr>
              <w:t>₹</w:t>
            </w:r>
            <w:r>
              <w:rPr>
                <w:rFonts w:ascii="Calibri" w:hAnsi="Calibri"/>
                <w:b/>
                <w:color w:val="2D2D2D"/>
                <w:sz w:val="17"/>
              </w:rPr>
              <w:t>228,740</w:t>
            </w:r>
          </w:p>
        </w:tc>
      </w:tr>
      <w:tr w:rsidR="00F9121E" w14:paraId="0AB8112B" w14:textId="77777777">
        <w:trPr>
          <w:jc w:val="center"/>
        </w:trPr>
        <w:tc>
          <w:tcPr>
            <w:tcW w:w="1728" w:type="dxa"/>
          </w:tcPr>
          <w:p w14:paraId="4A433042" w14:textId="77777777" w:rsidR="00F9121E" w:rsidRDefault="00F9121E">
            <w:pPr>
              <w:spacing w:before="40" w:after="40" w:line="252" w:lineRule="auto"/>
            </w:pPr>
          </w:p>
        </w:tc>
        <w:tc>
          <w:tcPr>
            <w:tcW w:w="2160" w:type="dxa"/>
          </w:tcPr>
          <w:p w14:paraId="0E9F383C" w14:textId="77777777" w:rsidR="00F9121E" w:rsidRDefault="00F524FC">
            <w:pPr>
              <w:spacing w:before="40" w:after="40" w:line="252" w:lineRule="auto"/>
            </w:pPr>
            <w:r>
              <w:rPr>
                <w:rFonts w:ascii="Calibri" w:hAnsi="Calibri"/>
                <w:b/>
                <w:color w:val="2D2D2D"/>
                <w:sz w:val="17"/>
              </w:rPr>
              <w:t>Full Hybrid (Median)</w:t>
            </w:r>
          </w:p>
        </w:tc>
        <w:tc>
          <w:tcPr>
            <w:tcW w:w="1296" w:type="dxa"/>
          </w:tcPr>
          <w:p w14:paraId="0D3D0AA0" w14:textId="77777777" w:rsidR="00F9121E" w:rsidRDefault="00F524FC">
            <w:pPr>
              <w:spacing w:before="40" w:after="40" w:line="252" w:lineRule="auto"/>
              <w:jc w:val="center"/>
            </w:pPr>
            <w:r>
              <w:rPr>
                <w:rFonts w:ascii="Calibri" w:hAnsi="Calibri"/>
                <w:b/>
                <w:color w:val="2D2D2D"/>
                <w:sz w:val="17"/>
              </w:rPr>
              <w:t>-0.35%</w:t>
            </w:r>
          </w:p>
        </w:tc>
        <w:tc>
          <w:tcPr>
            <w:tcW w:w="1152" w:type="dxa"/>
          </w:tcPr>
          <w:p w14:paraId="79CD51C5" w14:textId="77777777" w:rsidR="00F9121E" w:rsidRDefault="00F524FC">
            <w:pPr>
              <w:spacing w:before="40" w:after="40" w:line="252" w:lineRule="auto"/>
              <w:jc w:val="center"/>
            </w:pPr>
            <w:r>
              <w:rPr>
                <w:rFonts w:ascii="Calibri" w:hAnsi="Calibri"/>
                <w:b/>
                <w:color w:val="2D2D2D"/>
                <w:sz w:val="17"/>
              </w:rPr>
              <w:t>-0.06%</w:t>
            </w:r>
          </w:p>
        </w:tc>
        <w:tc>
          <w:tcPr>
            <w:tcW w:w="1152" w:type="dxa"/>
          </w:tcPr>
          <w:p w14:paraId="54C6F4DE" w14:textId="77777777" w:rsidR="00F9121E" w:rsidRDefault="00F524FC">
            <w:pPr>
              <w:spacing w:before="40" w:after="40" w:line="252" w:lineRule="auto"/>
              <w:jc w:val="center"/>
            </w:pPr>
            <w:r>
              <w:rPr>
                <w:rFonts w:ascii="Calibri" w:hAnsi="Calibri"/>
                <w:b/>
                <w:color w:val="2D2D2D"/>
                <w:sz w:val="17"/>
              </w:rPr>
              <w:t>0.04</w:t>
            </w:r>
          </w:p>
        </w:tc>
        <w:tc>
          <w:tcPr>
            <w:tcW w:w="1152" w:type="dxa"/>
          </w:tcPr>
          <w:p w14:paraId="6FACBDB1" w14:textId="77777777" w:rsidR="00F9121E" w:rsidRDefault="00F524FC">
            <w:pPr>
              <w:spacing w:before="40" w:after="40" w:line="252" w:lineRule="auto"/>
              <w:jc w:val="center"/>
            </w:pPr>
            <w:r>
              <w:rPr>
                <w:rFonts w:ascii="Calibri" w:hAnsi="Calibri"/>
                <w:b/>
                <w:color w:val="2D2D2D"/>
                <w:sz w:val="17"/>
              </w:rPr>
              <w:t>23.01%</w:t>
            </w:r>
          </w:p>
        </w:tc>
        <w:tc>
          <w:tcPr>
            <w:tcW w:w="1152" w:type="dxa"/>
          </w:tcPr>
          <w:p w14:paraId="50F60F5C" w14:textId="77777777" w:rsidR="00F9121E" w:rsidRDefault="00F524FC">
            <w:pPr>
              <w:spacing w:before="40" w:after="40" w:line="252" w:lineRule="auto"/>
              <w:jc w:val="center"/>
            </w:pPr>
            <w:r>
              <w:rPr>
                <w:rFonts w:ascii="Calibri" w:hAnsi="Calibri"/>
                <w:b/>
                <w:color w:val="2D2D2D"/>
                <w:sz w:val="17"/>
              </w:rPr>
              <w:t>₹</w:t>
            </w:r>
            <w:r>
              <w:rPr>
                <w:rFonts w:ascii="Calibri" w:hAnsi="Calibri"/>
                <w:b/>
                <w:color w:val="2D2D2D"/>
                <w:sz w:val="17"/>
              </w:rPr>
              <w:t>99,652</w:t>
            </w:r>
          </w:p>
        </w:tc>
      </w:tr>
      <w:tr w:rsidR="00F9121E" w14:paraId="63839282" w14:textId="77777777">
        <w:trPr>
          <w:jc w:val="center"/>
        </w:trPr>
        <w:tc>
          <w:tcPr>
            <w:tcW w:w="1728" w:type="dxa"/>
          </w:tcPr>
          <w:p w14:paraId="527762CE" w14:textId="77777777" w:rsidR="00F9121E" w:rsidRDefault="00F9121E">
            <w:pPr>
              <w:spacing w:before="40" w:after="40" w:line="252" w:lineRule="auto"/>
            </w:pPr>
          </w:p>
        </w:tc>
        <w:tc>
          <w:tcPr>
            <w:tcW w:w="2160" w:type="dxa"/>
          </w:tcPr>
          <w:p w14:paraId="49165DEA" w14:textId="77777777" w:rsidR="00F9121E" w:rsidRDefault="00F524FC">
            <w:pPr>
              <w:spacing w:before="40" w:after="40" w:line="252" w:lineRule="auto"/>
            </w:pPr>
            <w:r>
              <w:rPr>
                <w:rFonts w:ascii="Calibri" w:hAnsi="Calibri"/>
                <w:color w:val="2D2D2D"/>
                <w:sz w:val="17"/>
              </w:rPr>
              <w:t>Full Hybrid (Range)</w:t>
            </w:r>
          </w:p>
        </w:tc>
        <w:tc>
          <w:tcPr>
            <w:tcW w:w="1296" w:type="dxa"/>
          </w:tcPr>
          <w:p w14:paraId="7A1DB51E" w14:textId="77777777" w:rsidR="00F9121E" w:rsidRDefault="00F524FC">
            <w:pPr>
              <w:spacing w:before="40" w:after="40" w:line="252" w:lineRule="auto"/>
              <w:jc w:val="center"/>
            </w:pPr>
            <w:r>
              <w:rPr>
                <w:rFonts w:ascii="Calibri" w:hAnsi="Calibri"/>
                <w:color w:val="2D2D2D"/>
                <w:sz w:val="17"/>
              </w:rPr>
              <w:t>[-6.58%, +5.18%]</w:t>
            </w:r>
          </w:p>
        </w:tc>
        <w:tc>
          <w:tcPr>
            <w:tcW w:w="1152" w:type="dxa"/>
          </w:tcPr>
          <w:p w14:paraId="60BA3B4E" w14:textId="77777777" w:rsidR="00F9121E" w:rsidRDefault="00F524FC">
            <w:pPr>
              <w:spacing w:before="40" w:after="40" w:line="252" w:lineRule="auto"/>
              <w:jc w:val="center"/>
            </w:pPr>
            <w:r>
              <w:rPr>
                <w:rFonts w:ascii="Calibri" w:hAnsi="Calibri"/>
                <w:color w:val="2D2D2D"/>
                <w:sz w:val="17"/>
              </w:rPr>
              <w:t>[-1.15%, +0.86%]</w:t>
            </w:r>
          </w:p>
        </w:tc>
        <w:tc>
          <w:tcPr>
            <w:tcW w:w="1152" w:type="dxa"/>
          </w:tcPr>
          <w:p w14:paraId="6381FF78" w14:textId="77777777" w:rsidR="00F9121E" w:rsidRDefault="00F524FC">
            <w:pPr>
              <w:spacing w:before="40" w:after="40" w:line="252" w:lineRule="auto"/>
              <w:jc w:val="center"/>
            </w:pPr>
            <w:r>
              <w:rPr>
                <w:rFonts w:ascii="Calibri" w:hAnsi="Calibri"/>
                <w:color w:val="2D2D2D"/>
                <w:sz w:val="17"/>
              </w:rPr>
              <w:t>[-0.07, 0.14]</w:t>
            </w:r>
          </w:p>
        </w:tc>
        <w:tc>
          <w:tcPr>
            <w:tcW w:w="1152" w:type="dxa"/>
          </w:tcPr>
          <w:p w14:paraId="0D327A29" w14:textId="77777777" w:rsidR="00F9121E" w:rsidRDefault="00F524FC">
            <w:pPr>
              <w:spacing w:before="40" w:after="40" w:line="252" w:lineRule="auto"/>
              <w:jc w:val="center"/>
            </w:pPr>
            <w:r>
              <w:rPr>
                <w:rFonts w:ascii="Calibri" w:hAnsi="Calibri"/>
                <w:color w:val="2D2D2D"/>
                <w:sz w:val="17"/>
              </w:rPr>
              <w:t>[21.88%, 26.18%]</w:t>
            </w:r>
          </w:p>
        </w:tc>
        <w:tc>
          <w:tcPr>
            <w:tcW w:w="1152" w:type="dxa"/>
          </w:tcPr>
          <w:p w14:paraId="64852905" w14:textId="77777777" w:rsidR="00F9121E" w:rsidRDefault="00F524FC">
            <w:pPr>
              <w:spacing w:before="40" w:after="40" w:line="252" w:lineRule="auto"/>
              <w:jc w:val="center"/>
            </w:pPr>
            <w:r>
              <w:rPr>
                <w:rFonts w:ascii="Calibri" w:hAnsi="Calibri"/>
                <w:color w:val="2D2D2D"/>
                <w:sz w:val="17"/>
              </w:rPr>
              <w:t>[₹93k, ₹105k]</w:t>
            </w:r>
          </w:p>
        </w:tc>
      </w:tr>
      <w:tr w:rsidR="00F9121E" w14:paraId="15CDE3E1" w14:textId="77777777">
        <w:trPr>
          <w:jc w:val="center"/>
        </w:trPr>
        <w:tc>
          <w:tcPr>
            <w:tcW w:w="1728" w:type="dxa"/>
          </w:tcPr>
          <w:p w14:paraId="4998826E" w14:textId="77777777" w:rsidR="00F9121E" w:rsidRDefault="00F9121E">
            <w:pPr>
              <w:spacing w:before="40" w:after="40" w:line="252" w:lineRule="auto"/>
            </w:pPr>
          </w:p>
        </w:tc>
        <w:tc>
          <w:tcPr>
            <w:tcW w:w="2160" w:type="dxa"/>
          </w:tcPr>
          <w:p w14:paraId="7AD0A3CD" w14:textId="77777777" w:rsidR="00F9121E" w:rsidRDefault="00F524FC">
            <w:pPr>
              <w:spacing w:before="40" w:after="40" w:line="252" w:lineRule="auto"/>
            </w:pPr>
            <w:r>
              <w:rPr>
                <w:rFonts w:ascii="Calibri" w:hAnsi="Calibri"/>
                <w:b/>
                <w:color w:val="2D2D2D"/>
                <w:sz w:val="17"/>
              </w:rPr>
              <w:t>No-ML Ablation (Median)</w:t>
            </w:r>
          </w:p>
        </w:tc>
        <w:tc>
          <w:tcPr>
            <w:tcW w:w="1296" w:type="dxa"/>
          </w:tcPr>
          <w:p w14:paraId="3128FA9E" w14:textId="77777777" w:rsidR="00F9121E" w:rsidRDefault="00F524FC">
            <w:pPr>
              <w:spacing w:before="40" w:after="40" w:line="252" w:lineRule="auto"/>
              <w:jc w:val="center"/>
            </w:pPr>
            <w:r>
              <w:rPr>
                <w:rFonts w:ascii="Calibri" w:hAnsi="Calibri"/>
                <w:b/>
                <w:color w:val="2D2D2D"/>
                <w:sz w:val="17"/>
              </w:rPr>
              <w:t>+42.42%</w:t>
            </w:r>
          </w:p>
        </w:tc>
        <w:tc>
          <w:tcPr>
            <w:tcW w:w="1152" w:type="dxa"/>
          </w:tcPr>
          <w:p w14:paraId="0C233EB7" w14:textId="77777777" w:rsidR="00F9121E" w:rsidRDefault="00F524FC">
            <w:pPr>
              <w:spacing w:before="40" w:after="40" w:line="252" w:lineRule="auto"/>
              <w:jc w:val="center"/>
            </w:pPr>
            <w:r>
              <w:rPr>
                <w:rFonts w:ascii="Calibri" w:hAnsi="Calibri"/>
                <w:b/>
                <w:color w:val="2D2D2D"/>
                <w:sz w:val="17"/>
              </w:rPr>
              <w:t>6.18%</w:t>
            </w:r>
          </w:p>
        </w:tc>
        <w:tc>
          <w:tcPr>
            <w:tcW w:w="1152" w:type="dxa"/>
          </w:tcPr>
          <w:p w14:paraId="3F29B89D" w14:textId="77777777" w:rsidR="00F9121E" w:rsidRDefault="00F524FC">
            <w:pPr>
              <w:spacing w:before="40" w:after="40" w:line="252" w:lineRule="auto"/>
              <w:jc w:val="center"/>
            </w:pPr>
            <w:r>
              <w:rPr>
                <w:rFonts w:ascii="Calibri" w:hAnsi="Calibri"/>
                <w:b/>
                <w:color w:val="2D2D2D"/>
                <w:sz w:val="17"/>
              </w:rPr>
              <w:t>0.45</w:t>
            </w:r>
          </w:p>
        </w:tc>
        <w:tc>
          <w:tcPr>
            <w:tcW w:w="1152" w:type="dxa"/>
          </w:tcPr>
          <w:p w14:paraId="3E9C3979" w14:textId="77777777" w:rsidR="00F9121E" w:rsidRDefault="00F524FC">
            <w:pPr>
              <w:spacing w:before="40" w:after="40" w:line="252" w:lineRule="auto"/>
              <w:jc w:val="center"/>
            </w:pPr>
            <w:r>
              <w:rPr>
                <w:rFonts w:ascii="Calibri" w:hAnsi="Calibri"/>
                <w:b/>
                <w:color w:val="2D2D2D"/>
                <w:sz w:val="17"/>
              </w:rPr>
              <w:t>20.03%</w:t>
            </w:r>
          </w:p>
        </w:tc>
        <w:tc>
          <w:tcPr>
            <w:tcW w:w="1152" w:type="dxa"/>
          </w:tcPr>
          <w:p w14:paraId="0A55BA04" w14:textId="77777777" w:rsidR="00F9121E" w:rsidRDefault="00F524FC">
            <w:pPr>
              <w:spacing w:before="40" w:after="40" w:line="252" w:lineRule="auto"/>
              <w:jc w:val="center"/>
            </w:pPr>
            <w:r>
              <w:rPr>
                <w:rFonts w:ascii="Calibri" w:hAnsi="Calibri"/>
                <w:b/>
                <w:color w:val="2D2D2D"/>
                <w:sz w:val="17"/>
              </w:rPr>
              <w:t>₹</w:t>
            </w:r>
            <w:r>
              <w:rPr>
                <w:rFonts w:ascii="Calibri" w:hAnsi="Calibri"/>
                <w:b/>
                <w:color w:val="2D2D2D"/>
                <w:sz w:val="17"/>
              </w:rPr>
              <w:t>142,415</w:t>
            </w:r>
          </w:p>
        </w:tc>
      </w:tr>
      <w:tr w:rsidR="00F9121E" w14:paraId="734E06C2" w14:textId="77777777">
        <w:trPr>
          <w:jc w:val="center"/>
        </w:trPr>
        <w:tc>
          <w:tcPr>
            <w:tcW w:w="1728" w:type="dxa"/>
          </w:tcPr>
          <w:p w14:paraId="16ABD99A" w14:textId="77777777" w:rsidR="00F9121E" w:rsidRDefault="00F524FC">
            <w:pPr>
              <w:spacing w:before="40" w:after="40" w:line="252" w:lineRule="auto"/>
            </w:pPr>
            <w:r>
              <w:rPr>
                <w:rFonts w:ascii="Calibri" w:hAnsi="Calibri"/>
                <w:b/>
                <w:color w:val="2D2D2D"/>
                <w:sz w:val="17"/>
              </w:rPr>
              <w:t>TCS.NS</w:t>
            </w:r>
          </w:p>
        </w:tc>
        <w:tc>
          <w:tcPr>
            <w:tcW w:w="2160" w:type="dxa"/>
          </w:tcPr>
          <w:p w14:paraId="59C79886" w14:textId="77777777" w:rsidR="00F9121E" w:rsidRDefault="00F524FC">
            <w:pPr>
              <w:spacing w:before="40" w:after="40" w:line="252" w:lineRule="auto"/>
            </w:pPr>
            <w:r>
              <w:rPr>
                <w:rFonts w:ascii="Calibri" w:hAnsi="Calibri"/>
                <w:b/>
                <w:color w:val="2D2D2D"/>
                <w:sz w:val="17"/>
              </w:rPr>
              <w:t>Buy &amp; Hold</w:t>
            </w:r>
          </w:p>
        </w:tc>
        <w:tc>
          <w:tcPr>
            <w:tcW w:w="1296" w:type="dxa"/>
          </w:tcPr>
          <w:p w14:paraId="593333A1" w14:textId="77777777" w:rsidR="00F9121E" w:rsidRDefault="00F524FC">
            <w:pPr>
              <w:spacing w:before="40" w:after="40" w:line="252" w:lineRule="auto"/>
              <w:jc w:val="center"/>
            </w:pPr>
            <w:r>
              <w:rPr>
                <w:rFonts w:ascii="Calibri" w:hAnsi="Calibri"/>
                <w:b/>
                <w:color w:val="2D2D2D"/>
                <w:sz w:val="17"/>
              </w:rPr>
              <w:t>+65.13%</w:t>
            </w:r>
          </w:p>
        </w:tc>
        <w:tc>
          <w:tcPr>
            <w:tcW w:w="1152" w:type="dxa"/>
          </w:tcPr>
          <w:p w14:paraId="1C50975C" w14:textId="77777777" w:rsidR="00F9121E" w:rsidRDefault="00F524FC">
            <w:pPr>
              <w:spacing w:before="40" w:after="40" w:line="252" w:lineRule="auto"/>
              <w:jc w:val="center"/>
            </w:pPr>
            <w:r>
              <w:rPr>
                <w:rFonts w:ascii="Calibri" w:hAnsi="Calibri"/>
                <w:b/>
                <w:color w:val="2D2D2D"/>
                <w:sz w:val="17"/>
              </w:rPr>
              <w:t>8.87%</w:t>
            </w:r>
          </w:p>
        </w:tc>
        <w:tc>
          <w:tcPr>
            <w:tcW w:w="1152" w:type="dxa"/>
          </w:tcPr>
          <w:p w14:paraId="5ACB5F2A" w14:textId="77777777" w:rsidR="00F9121E" w:rsidRDefault="00F524FC">
            <w:pPr>
              <w:spacing w:before="40" w:after="40" w:line="252" w:lineRule="auto"/>
              <w:jc w:val="center"/>
            </w:pPr>
            <w:r>
              <w:rPr>
                <w:rFonts w:ascii="Calibri" w:hAnsi="Calibri"/>
                <w:b/>
                <w:color w:val="2D2D2D"/>
                <w:sz w:val="17"/>
              </w:rPr>
              <w:t>0.48</w:t>
            </w:r>
          </w:p>
        </w:tc>
        <w:tc>
          <w:tcPr>
            <w:tcW w:w="1152" w:type="dxa"/>
          </w:tcPr>
          <w:p w14:paraId="470EB7AF" w14:textId="77777777" w:rsidR="00F9121E" w:rsidRDefault="00F524FC">
            <w:pPr>
              <w:spacing w:before="40" w:after="40" w:line="252" w:lineRule="auto"/>
              <w:jc w:val="center"/>
            </w:pPr>
            <w:r>
              <w:rPr>
                <w:rFonts w:ascii="Calibri" w:hAnsi="Calibri"/>
                <w:b/>
                <w:color w:val="2D2D2D"/>
                <w:sz w:val="17"/>
              </w:rPr>
              <w:t>34.57%</w:t>
            </w:r>
          </w:p>
        </w:tc>
        <w:tc>
          <w:tcPr>
            <w:tcW w:w="1152" w:type="dxa"/>
          </w:tcPr>
          <w:p w14:paraId="1AA97DDB" w14:textId="77777777" w:rsidR="00F9121E" w:rsidRDefault="00F524FC">
            <w:pPr>
              <w:spacing w:before="40" w:after="40" w:line="252" w:lineRule="auto"/>
              <w:jc w:val="center"/>
            </w:pPr>
            <w:r>
              <w:rPr>
                <w:rFonts w:ascii="Calibri" w:hAnsi="Calibri"/>
                <w:b/>
                <w:color w:val="2D2D2D"/>
                <w:sz w:val="17"/>
              </w:rPr>
              <w:t>₹</w:t>
            </w:r>
            <w:r>
              <w:rPr>
                <w:rFonts w:ascii="Calibri" w:hAnsi="Calibri"/>
                <w:b/>
                <w:color w:val="2D2D2D"/>
                <w:sz w:val="17"/>
              </w:rPr>
              <w:t>165,134</w:t>
            </w:r>
          </w:p>
        </w:tc>
      </w:tr>
      <w:tr w:rsidR="00F9121E" w14:paraId="72C6495D" w14:textId="77777777">
        <w:trPr>
          <w:jc w:val="center"/>
        </w:trPr>
        <w:tc>
          <w:tcPr>
            <w:tcW w:w="1728" w:type="dxa"/>
          </w:tcPr>
          <w:p w14:paraId="13663644" w14:textId="77777777" w:rsidR="00F9121E" w:rsidRDefault="00F9121E">
            <w:pPr>
              <w:spacing w:before="40" w:after="40" w:line="252" w:lineRule="auto"/>
            </w:pPr>
          </w:p>
        </w:tc>
        <w:tc>
          <w:tcPr>
            <w:tcW w:w="2160" w:type="dxa"/>
          </w:tcPr>
          <w:p w14:paraId="533C96DC" w14:textId="77777777" w:rsidR="00F9121E" w:rsidRDefault="00F524FC">
            <w:pPr>
              <w:spacing w:before="40" w:after="40" w:line="252" w:lineRule="auto"/>
            </w:pPr>
            <w:r>
              <w:rPr>
                <w:rFonts w:ascii="Calibri" w:hAnsi="Calibri"/>
                <w:b/>
                <w:color w:val="2D2D2D"/>
                <w:sz w:val="17"/>
              </w:rPr>
              <w:t>Full Hybrid (Median)</w:t>
            </w:r>
          </w:p>
        </w:tc>
        <w:tc>
          <w:tcPr>
            <w:tcW w:w="1296" w:type="dxa"/>
          </w:tcPr>
          <w:p w14:paraId="56744CB0" w14:textId="77777777" w:rsidR="00F9121E" w:rsidRDefault="00F524FC">
            <w:pPr>
              <w:spacing w:before="40" w:after="40" w:line="252" w:lineRule="auto"/>
              <w:jc w:val="center"/>
            </w:pPr>
            <w:r>
              <w:rPr>
                <w:rFonts w:ascii="Calibri" w:hAnsi="Calibri"/>
                <w:b/>
                <w:color w:val="2D2D2D"/>
                <w:sz w:val="17"/>
              </w:rPr>
              <w:t>+25.60%</w:t>
            </w:r>
          </w:p>
        </w:tc>
        <w:tc>
          <w:tcPr>
            <w:tcW w:w="1152" w:type="dxa"/>
          </w:tcPr>
          <w:p w14:paraId="46AEE2D0" w14:textId="77777777" w:rsidR="00F9121E" w:rsidRDefault="00F524FC">
            <w:pPr>
              <w:spacing w:before="40" w:after="40" w:line="252" w:lineRule="auto"/>
              <w:jc w:val="center"/>
            </w:pPr>
            <w:r>
              <w:rPr>
                <w:rFonts w:ascii="Calibri" w:hAnsi="Calibri"/>
                <w:b/>
                <w:color w:val="2D2D2D"/>
                <w:sz w:val="17"/>
              </w:rPr>
              <w:t>3.94%</w:t>
            </w:r>
          </w:p>
        </w:tc>
        <w:tc>
          <w:tcPr>
            <w:tcW w:w="1152" w:type="dxa"/>
          </w:tcPr>
          <w:p w14:paraId="3E402E76" w14:textId="77777777" w:rsidR="00F9121E" w:rsidRDefault="00F524FC">
            <w:pPr>
              <w:spacing w:before="40" w:after="40" w:line="252" w:lineRule="auto"/>
              <w:jc w:val="center"/>
            </w:pPr>
            <w:r>
              <w:rPr>
                <w:rFonts w:ascii="Calibri" w:hAnsi="Calibri"/>
                <w:b/>
                <w:color w:val="2D2D2D"/>
                <w:sz w:val="17"/>
              </w:rPr>
              <w:t>0.44</w:t>
            </w:r>
          </w:p>
        </w:tc>
        <w:tc>
          <w:tcPr>
            <w:tcW w:w="1152" w:type="dxa"/>
          </w:tcPr>
          <w:p w14:paraId="3F434A18" w14:textId="77777777" w:rsidR="00F9121E" w:rsidRDefault="00F524FC">
            <w:pPr>
              <w:spacing w:before="40" w:after="40" w:line="252" w:lineRule="auto"/>
              <w:jc w:val="center"/>
            </w:pPr>
            <w:r>
              <w:rPr>
                <w:rFonts w:ascii="Calibri" w:hAnsi="Calibri"/>
                <w:b/>
                <w:color w:val="2D2D2D"/>
                <w:sz w:val="17"/>
              </w:rPr>
              <w:t>28.66%</w:t>
            </w:r>
          </w:p>
        </w:tc>
        <w:tc>
          <w:tcPr>
            <w:tcW w:w="1152" w:type="dxa"/>
          </w:tcPr>
          <w:p w14:paraId="137E63C5" w14:textId="77777777" w:rsidR="00F9121E" w:rsidRDefault="00F524FC">
            <w:pPr>
              <w:spacing w:before="40" w:after="40" w:line="252" w:lineRule="auto"/>
              <w:jc w:val="center"/>
            </w:pPr>
            <w:r>
              <w:rPr>
                <w:rFonts w:ascii="Calibri" w:hAnsi="Calibri"/>
                <w:b/>
                <w:color w:val="2D2D2D"/>
                <w:sz w:val="17"/>
              </w:rPr>
              <w:t>₹</w:t>
            </w:r>
            <w:r>
              <w:rPr>
                <w:rFonts w:ascii="Calibri" w:hAnsi="Calibri"/>
                <w:b/>
                <w:color w:val="2D2D2D"/>
                <w:sz w:val="17"/>
              </w:rPr>
              <w:t>125,600</w:t>
            </w:r>
          </w:p>
        </w:tc>
      </w:tr>
      <w:tr w:rsidR="00F9121E" w14:paraId="15F459C0" w14:textId="77777777">
        <w:trPr>
          <w:jc w:val="center"/>
        </w:trPr>
        <w:tc>
          <w:tcPr>
            <w:tcW w:w="1728" w:type="dxa"/>
          </w:tcPr>
          <w:p w14:paraId="3BF97BF5" w14:textId="77777777" w:rsidR="00F9121E" w:rsidRDefault="00F9121E">
            <w:pPr>
              <w:spacing w:before="40" w:after="40" w:line="252" w:lineRule="auto"/>
            </w:pPr>
          </w:p>
        </w:tc>
        <w:tc>
          <w:tcPr>
            <w:tcW w:w="2160" w:type="dxa"/>
          </w:tcPr>
          <w:p w14:paraId="6D15338D" w14:textId="77777777" w:rsidR="00F9121E" w:rsidRDefault="00F524FC">
            <w:pPr>
              <w:spacing w:before="40" w:after="40" w:line="252" w:lineRule="auto"/>
            </w:pPr>
            <w:r>
              <w:rPr>
                <w:rFonts w:ascii="Calibri" w:hAnsi="Calibri"/>
                <w:color w:val="2D2D2D"/>
                <w:sz w:val="17"/>
              </w:rPr>
              <w:t>Full Hybrid (Range)</w:t>
            </w:r>
          </w:p>
        </w:tc>
        <w:tc>
          <w:tcPr>
            <w:tcW w:w="1296" w:type="dxa"/>
          </w:tcPr>
          <w:p w14:paraId="6167A859" w14:textId="77777777" w:rsidR="00F9121E" w:rsidRDefault="00F524FC">
            <w:pPr>
              <w:spacing w:before="40" w:after="40" w:line="252" w:lineRule="auto"/>
              <w:jc w:val="center"/>
            </w:pPr>
            <w:r>
              <w:rPr>
                <w:rFonts w:ascii="Calibri" w:hAnsi="Calibri"/>
                <w:color w:val="2D2D2D"/>
                <w:sz w:val="17"/>
              </w:rPr>
              <w:t>[+10.60%, +41.86%]</w:t>
            </w:r>
          </w:p>
        </w:tc>
        <w:tc>
          <w:tcPr>
            <w:tcW w:w="1152" w:type="dxa"/>
          </w:tcPr>
          <w:p w14:paraId="60B24F8C" w14:textId="77777777" w:rsidR="00F9121E" w:rsidRDefault="00F524FC">
            <w:pPr>
              <w:spacing w:before="40" w:after="40" w:line="252" w:lineRule="auto"/>
              <w:jc w:val="center"/>
            </w:pPr>
            <w:r>
              <w:rPr>
                <w:rFonts w:ascii="Calibri" w:hAnsi="Calibri"/>
                <w:color w:val="2D2D2D"/>
                <w:sz w:val="17"/>
              </w:rPr>
              <w:t>[+1.72%, +6.10%]</w:t>
            </w:r>
          </w:p>
        </w:tc>
        <w:tc>
          <w:tcPr>
            <w:tcW w:w="1152" w:type="dxa"/>
          </w:tcPr>
          <w:p w14:paraId="33A2994F" w14:textId="77777777" w:rsidR="00F9121E" w:rsidRDefault="00F524FC">
            <w:pPr>
              <w:spacing w:before="40" w:after="40" w:line="252" w:lineRule="auto"/>
              <w:jc w:val="center"/>
            </w:pPr>
            <w:r>
              <w:rPr>
                <w:rFonts w:ascii="Calibri" w:hAnsi="Calibri"/>
                <w:color w:val="2D2D2D"/>
                <w:sz w:val="17"/>
              </w:rPr>
              <w:t>[0.21, 0.54]</w:t>
            </w:r>
          </w:p>
        </w:tc>
        <w:tc>
          <w:tcPr>
            <w:tcW w:w="1152" w:type="dxa"/>
          </w:tcPr>
          <w:p w14:paraId="7FE0314E" w14:textId="77777777" w:rsidR="00F9121E" w:rsidRDefault="00F524FC">
            <w:pPr>
              <w:spacing w:before="40" w:after="40" w:line="252" w:lineRule="auto"/>
              <w:jc w:val="center"/>
            </w:pPr>
            <w:r>
              <w:rPr>
                <w:rFonts w:ascii="Calibri" w:hAnsi="Calibri"/>
                <w:color w:val="2D2D2D"/>
                <w:sz w:val="17"/>
              </w:rPr>
              <w:t>[18.29%, 30.12%]</w:t>
            </w:r>
          </w:p>
        </w:tc>
        <w:tc>
          <w:tcPr>
            <w:tcW w:w="1152" w:type="dxa"/>
          </w:tcPr>
          <w:p w14:paraId="56D073B9" w14:textId="77777777" w:rsidR="00F9121E" w:rsidRDefault="00F524FC">
            <w:pPr>
              <w:spacing w:before="40" w:after="40" w:line="252" w:lineRule="auto"/>
              <w:jc w:val="center"/>
            </w:pPr>
            <w:r>
              <w:rPr>
                <w:rFonts w:ascii="Calibri" w:hAnsi="Calibri"/>
                <w:color w:val="2D2D2D"/>
                <w:sz w:val="17"/>
              </w:rPr>
              <w:t>[₹111k, ₹142k]</w:t>
            </w:r>
          </w:p>
        </w:tc>
      </w:tr>
      <w:tr w:rsidR="00F9121E" w14:paraId="4969EEC8" w14:textId="77777777">
        <w:trPr>
          <w:jc w:val="center"/>
        </w:trPr>
        <w:tc>
          <w:tcPr>
            <w:tcW w:w="1728" w:type="dxa"/>
          </w:tcPr>
          <w:p w14:paraId="5A23D08C" w14:textId="77777777" w:rsidR="00F9121E" w:rsidRDefault="00F9121E">
            <w:pPr>
              <w:spacing w:before="40" w:after="40" w:line="252" w:lineRule="auto"/>
            </w:pPr>
          </w:p>
        </w:tc>
        <w:tc>
          <w:tcPr>
            <w:tcW w:w="2160" w:type="dxa"/>
          </w:tcPr>
          <w:p w14:paraId="2B0474BC" w14:textId="77777777" w:rsidR="00F9121E" w:rsidRDefault="00F524FC">
            <w:pPr>
              <w:spacing w:before="40" w:after="40" w:line="252" w:lineRule="auto"/>
            </w:pPr>
            <w:r>
              <w:rPr>
                <w:rFonts w:ascii="Calibri" w:hAnsi="Calibri"/>
                <w:b/>
                <w:color w:val="2D2D2D"/>
                <w:sz w:val="17"/>
              </w:rPr>
              <w:t>No-ML Ablation (Median)</w:t>
            </w:r>
          </w:p>
        </w:tc>
        <w:tc>
          <w:tcPr>
            <w:tcW w:w="1296" w:type="dxa"/>
          </w:tcPr>
          <w:p w14:paraId="64FF1D06" w14:textId="77777777" w:rsidR="00F9121E" w:rsidRDefault="00F524FC">
            <w:pPr>
              <w:spacing w:before="40" w:after="40" w:line="252" w:lineRule="auto"/>
              <w:jc w:val="center"/>
            </w:pPr>
            <w:r>
              <w:rPr>
                <w:rFonts w:ascii="Calibri" w:hAnsi="Calibri"/>
                <w:b/>
                <w:color w:val="2D2D2D"/>
                <w:sz w:val="17"/>
              </w:rPr>
              <w:t>+47.37%</w:t>
            </w:r>
          </w:p>
        </w:tc>
        <w:tc>
          <w:tcPr>
            <w:tcW w:w="1152" w:type="dxa"/>
          </w:tcPr>
          <w:p w14:paraId="2A094905" w14:textId="77777777" w:rsidR="00F9121E" w:rsidRDefault="00F524FC">
            <w:pPr>
              <w:spacing w:before="40" w:after="40" w:line="252" w:lineRule="auto"/>
              <w:jc w:val="center"/>
            </w:pPr>
            <w:r>
              <w:rPr>
                <w:rFonts w:ascii="Calibri" w:hAnsi="Calibri"/>
                <w:b/>
                <w:color w:val="2D2D2D"/>
                <w:sz w:val="17"/>
              </w:rPr>
              <w:t>6.79%</w:t>
            </w:r>
          </w:p>
        </w:tc>
        <w:tc>
          <w:tcPr>
            <w:tcW w:w="1152" w:type="dxa"/>
          </w:tcPr>
          <w:p w14:paraId="4143167D" w14:textId="77777777" w:rsidR="00F9121E" w:rsidRDefault="00F524FC">
            <w:pPr>
              <w:spacing w:before="40" w:after="40" w:line="252" w:lineRule="auto"/>
              <w:jc w:val="center"/>
            </w:pPr>
            <w:r>
              <w:rPr>
                <w:rFonts w:ascii="Calibri" w:hAnsi="Calibri"/>
                <w:b/>
                <w:color w:val="2D2D2D"/>
                <w:sz w:val="17"/>
              </w:rPr>
              <w:t>0.50</w:t>
            </w:r>
          </w:p>
        </w:tc>
        <w:tc>
          <w:tcPr>
            <w:tcW w:w="1152" w:type="dxa"/>
          </w:tcPr>
          <w:p w14:paraId="45C292CD" w14:textId="77777777" w:rsidR="00F9121E" w:rsidRDefault="00F524FC">
            <w:pPr>
              <w:spacing w:before="40" w:after="40" w:line="252" w:lineRule="auto"/>
              <w:jc w:val="center"/>
            </w:pPr>
            <w:r>
              <w:rPr>
                <w:rFonts w:ascii="Calibri" w:hAnsi="Calibri"/>
                <w:b/>
                <w:color w:val="2D2D2D"/>
                <w:sz w:val="17"/>
              </w:rPr>
              <w:t>31.62%</w:t>
            </w:r>
          </w:p>
        </w:tc>
        <w:tc>
          <w:tcPr>
            <w:tcW w:w="1152" w:type="dxa"/>
          </w:tcPr>
          <w:p w14:paraId="548690B2" w14:textId="77777777" w:rsidR="00F9121E" w:rsidRDefault="00F524FC">
            <w:pPr>
              <w:spacing w:before="40" w:after="40" w:line="252" w:lineRule="auto"/>
              <w:jc w:val="center"/>
            </w:pPr>
            <w:r>
              <w:rPr>
                <w:rFonts w:ascii="Calibri" w:hAnsi="Calibri"/>
                <w:b/>
                <w:color w:val="2D2D2D"/>
                <w:sz w:val="17"/>
              </w:rPr>
              <w:t>₹</w:t>
            </w:r>
            <w:r>
              <w:rPr>
                <w:rFonts w:ascii="Calibri" w:hAnsi="Calibri"/>
                <w:b/>
                <w:color w:val="2D2D2D"/>
                <w:sz w:val="17"/>
              </w:rPr>
              <w:t>147,369</w:t>
            </w:r>
          </w:p>
        </w:tc>
      </w:tr>
      <w:tr w:rsidR="00F9121E" w14:paraId="36699CF5" w14:textId="77777777">
        <w:trPr>
          <w:jc w:val="center"/>
        </w:trPr>
        <w:tc>
          <w:tcPr>
            <w:tcW w:w="1728" w:type="dxa"/>
          </w:tcPr>
          <w:p w14:paraId="7FFA3AA1" w14:textId="77777777" w:rsidR="00F9121E" w:rsidRDefault="00F524FC">
            <w:pPr>
              <w:spacing w:before="40" w:after="40" w:line="252" w:lineRule="auto"/>
            </w:pPr>
            <w:r>
              <w:rPr>
                <w:rFonts w:ascii="Calibri" w:hAnsi="Calibri"/>
                <w:b/>
                <w:color w:val="2D2D2D"/>
                <w:sz w:val="17"/>
              </w:rPr>
              <w:t>INFY.NS</w:t>
            </w:r>
          </w:p>
        </w:tc>
        <w:tc>
          <w:tcPr>
            <w:tcW w:w="2160" w:type="dxa"/>
          </w:tcPr>
          <w:p w14:paraId="3DA839BC" w14:textId="77777777" w:rsidR="00F9121E" w:rsidRDefault="00F524FC">
            <w:pPr>
              <w:spacing w:before="40" w:after="40" w:line="252" w:lineRule="auto"/>
            </w:pPr>
            <w:r>
              <w:rPr>
                <w:rFonts w:ascii="Calibri" w:hAnsi="Calibri"/>
                <w:b/>
                <w:color w:val="2D2D2D"/>
                <w:sz w:val="17"/>
              </w:rPr>
              <w:t>Buy &amp; Hold</w:t>
            </w:r>
          </w:p>
        </w:tc>
        <w:tc>
          <w:tcPr>
            <w:tcW w:w="1296" w:type="dxa"/>
          </w:tcPr>
          <w:p w14:paraId="79BBB5E3" w14:textId="77777777" w:rsidR="00F9121E" w:rsidRDefault="00F524FC">
            <w:pPr>
              <w:spacing w:before="40" w:after="40" w:line="252" w:lineRule="auto"/>
              <w:jc w:val="center"/>
            </w:pPr>
            <w:r>
              <w:rPr>
                <w:rFonts w:ascii="Calibri" w:hAnsi="Calibri"/>
                <w:b/>
                <w:color w:val="2D2D2D"/>
                <w:sz w:val="17"/>
              </w:rPr>
              <w:t>+152.78%</w:t>
            </w:r>
          </w:p>
        </w:tc>
        <w:tc>
          <w:tcPr>
            <w:tcW w:w="1152" w:type="dxa"/>
          </w:tcPr>
          <w:p w14:paraId="313DC871" w14:textId="77777777" w:rsidR="00F9121E" w:rsidRDefault="00F524FC">
            <w:pPr>
              <w:spacing w:before="40" w:after="40" w:line="252" w:lineRule="auto"/>
              <w:jc w:val="center"/>
            </w:pPr>
            <w:r>
              <w:rPr>
                <w:rFonts w:ascii="Calibri" w:hAnsi="Calibri"/>
                <w:b/>
                <w:color w:val="2D2D2D"/>
                <w:sz w:val="17"/>
              </w:rPr>
              <w:t>17.02%</w:t>
            </w:r>
          </w:p>
        </w:tc>
        <w:tc>
          <w:tcPr>
            <w:tcW w:w="1152" w:type="dxa"/>
          </w:tcPr>
          <w:p w14:paraId="2A3F5E02" w14:textId="77777777" w:rsidR="00F9121E" w:rsidRDefault="00F524FC">
            <w:pPr>
              <w:spacing w:before="40" w:after="40" w:line="252" w:lineRule="auto"/>
              <w:jc w:val="center"/>
            </w:pPr>
            <w:r>
              <w:rPr>
                <w:rFonts w:ascii="Calibri" w:hAnsi="Calibri"/>
                <w:b/>
                <w:color w:val="2D2D2D"/>
                <w:sz w:val="17"/>
              </w:rPr>
              <w:t>0.71</w:t>
            </w:r>
          </w:p>
        </w:tc>
        <w:tc>
          <w:tcPr>
            <w:tcW w:w="1152" w:type="dxa"/>
          </w:tcPr>
          <w:p w14:paraId="5C064D17" w14:textId="77777777" w:rsidR="00F9121E" w:rsidRDefault="00F524FC">
            <w:pPr>
              <w:spacing w:before="40" w:after="40" w:line="252" w:lineRule="auto"/>
              <w:jc w:val="center"/>
            </w:pPr>
            <w:r>
              <w:rPr>
                <w:rFonts w:ascii="Calibri" w:hAnsi="Calibri"/>
                <w:b/>
                <w:color w:val="2D2D2D"/>
                <w:sz w:val="17"/>
              </w:rPr>
              <w:t>35.93%</w:t>
            </w:r>
          </w:p>
        </w:tc>
        <w:tc>
          <w:tcPr>
            <w:tcW w:w="1152" w:type="dxa"/>
          </w:tcPr>
          <w:p w14:paraId="78C84770" w14:textId="77777777" w:rsidR="00F9121E" w:rsidRDefault="00F524FC">
            <w:pPr>
              <w:spacing w:before="40" w:after="40" w:line="252" w:lineRule="auto"/>
              <w:jc w:val="center"/>
            </w:pPr>
            <w:r>
              <w:rPr>
                <w:rFonts w:ascii="Calibri" w:hAnsi="Calibri"/>
                <w:b/>
                <w:color w:val="2D2D2D"/>
                <w:sz w:val="17"/>
              </w:rPr>
              <w:t>₹</w:t>
            </w:r>
            <w:r>
              <w:rPr>
                <w:rFonts w:ascii="Calibri" w:hAnsi="Calibri"/>
                <w:b/>
                <w:color w:val="2D2D2D"/>
                <w:sz w:val="17"/>
              </w:rPr>
              <w:t>252,783</w:t>
            </w:r>
          </w:p>
        </w:tc>
      </w:tr>
      <w:tr w:rsidR="00F9121E" w14:paraId="4C069BB9" w14:textId="77777777">
        <w:trPr>
          <w:jc w:val="center"/>
        </w:trPr>
        <w:tc>
          <w:tcPr>
            <w:tcW w:w="1728" w:type="dxa"/>
          </w:tcPr>
          <w:p w14:paraId="0CB733DB" w14:textId="77777777" w:rsidR="00F9121E" w:rsidRDefault="00F9121E">
            <w:pPr>
              <w:spacing w:before="40" w:after="40" w:line="252" w:lineRule="auto"/>
            </w:pPr>
          </w:p>
        </w:tc>
        <w:tc>
          <w:tcPr>
            <w:tcW w:w="2160" w:type="dxa"/>
          </w:tcPr>
          <w:p w14:paraId="6B4D0BA8" w14:textId="77777777" w:rsidR="00F9121E" w:rsidRDefault="00F524FC">
            <w:pPr>
              <w:spacing w:before="40" w:after="40" w:line="252" w:lineRule="auto"/>
            </w:pPr>
            <w:r>
              <w:rPr>
                <w:rFonts w:ascii="Calibri" w:hAnsi="Calibri"/>
                <w:b/>
                <w:color w:val="2D2D2D"/>
                <w:sz w:val="17"/>
              </w:rPr>
              <w:t>Full Hybrid (Median)</w:t>
            </w:r>
          </w:p>
        </w:tc>
        <w:tc>
          <w:tcPr>
            <w:tcW w:w="1296" w:type="dxa"/>
          </w:tcPr>
          <w:p w14:paraId="05C52798" w14:textId="77777777" w:rsidR="00F9121E" w:rsidRDefault="00F524FC">
            <w:pPr>
              <w:spacing w:before="40" w:after="40" w:line="252" w:lineRule="auto"/>
              <w:jc w:val="center"/>
            </w:pPr>
            <w:r>
              <w:rPr>
                <w:rFonts w:ascii="Calibri" w:hAnsi="Calibri"/>
                <w:b/>
                <w:color w:val="2D2D2D"/>
                <w:sz w:val="17"/>
              </w:rPr>
              <w:t>+9.10%</w:t>
            </w:r>
          </w:p>
        </w:tc>
        <w:tc>
          <w:tcPr>
            <w:tcW w:w="1152" w:type="dxa"/>
          </w:tcPr>
          <w:p w14:paraId="778C938F" w14:textId="77777777" w:rsidR="00F9121E" w:rsidRDefault="00F524FC">
            <w:pPr>
              <w:spacing w:before="40" w:after="40" w:line="252" w:lineRule="auto"/>
              <w:jc w:val="center"/>
            </w:pPr>
            <w:r>
              <w:rPr>
                <w:rFonts w:ascii="Calibri" w:hAnsi="Calibri"/>
                <w:b/>
                <w:color w:val="2D2D2D"/>
                <w:sz w:val="17"/>
              </w:rPr>
              <w:t>1.49%</w:t>
            </w:r>
          </w:p>
        </w:tc>
        <w:tc>
          <w:tcPr>
            <w:tcW w:w="1152" w:type="dxa"/>
          </w:tcPr>
          <w:p w14:paraId="6705CEA1" w14:textId="77777777" w:rsidR="00F9121E" w:rsidRDefault="00F524FC">
            <w:pPr>
              <w:spacing w:before="40" w:after="40" w:line="252" w:lineRule="auto"/>
              <w:jc w:val="center"/>
            </w:pPr>
            <w:r>
              <w:rPr>
                <w:rFonts w:ascii="Calibri" w:hAnsi="Calibri"/>
                <w:b/>
                <w:color w:val="2D2D2D"/>
                <w:sz w:val="17"/>
              </w:rPr>
              <w:t>0.18</w:t>
            </w:r>
          </w:p>
        </w:tc>
        <w:tc>
          <w:tcPr>
            <w:tcW w:w="1152" w:type="dxa"/>
          </w:tcPr>
          <w:p w14:paraId="64D4F617" w14:textId="77777777" w:rsidR="00F9121E" w:rsidRDefault="00F524FC">
            <w:pPr>
              <w:spacing w:before="40" w:after="40" w:line="252" w:lineRule="auto"/>
              <w:jc w:val="center"/>
            </w:pPr>
            <w:r>
              <w:rPr>
                <w:rFonts w:ascii="Calibri" w:hAnsi="Calibri"/>
                <w:b/>
                <w:color w:val="2D2D2D"/>
                <w:sz w:val="17"/>
              </w:rPr>
              <w:t>37.16%</w:t>
            </w:r>
          </w:p>
        </w:tc>
        <w:tc>
          <w:tcPr>
            <w:tcW w:w="1152" w:type="dxa"/>
          </w:tcPr>
          <w:p w14:paraId="58F1B702" w14:textId="77777777" w:rsidR="00F9121E" w:rsidRDefault="00F524FC">
            <w:pPr>
              <w:spacing w:before="40" w:after="40" w:line="252" w:lineRule="auto"/>
              <w:jc w:val="center"/>
            </w:pPr>
            <w:r>
              <w:rPr>
                <w:rFonts w:ascii="Calibri" w:hAnsi="Calibri"/>
                <w:b/>
                <w:color w:val="2D2D2D"/>
                <w:sz w:val="17"/>
              </w:rPr>
              <w:t>₹</w:t>
            </w:r>
            <w:r>
              <w:rPr>
                <w:rFonts w:ascii="Calibri" w:hAnsi="Calibri"/>
                <w:b/>
                <w:color w:val="2D2D2D"/>
                <w:sz w:val="17"/>
              </w:rPr>
              <w:t>109,103</w:t>
            </w:r>
          </w:p>
        </w:tc>
      </w:tr>
    </w:tbl>
    <w:p w14:paraId="3490D370" w14:textId="77777777" w:rsidR="00F9121E" w:rsidRDefault="00F524FC">
      <w:pPr>
        <w:spacing w:before="40" w:after="120"/>
      </w:pPr>
      <w:r>
        <w:rPr>
          <w:i/>
          <w:color w:val="6E6E6E"/>
          <w:sz w:val="17"/>
        </w:rPr>
        <w:t>Table 6.2. Stitched 6-year compounded performance summary (2020–2025, 1,487 trading sessions).</w:t>
      </w:r>
    </w:p>
    <w:p w14:paraId="330C3140" w14:textId="77777777" w:rsidR="00F9121E" w:rsidRDefault="00F524FC">
      <w:pPr>
        <w:keepNext/>
        <w:spacing w:before="120" w:after="40"/>
        <w:jc w:val="center"/>
      </w:pPr>
      <w:r>
        <w:rPr>
          <w:noProof/>
        </w:rPr>
        <w:lastRenderedPageBreak/>
        <w:drawing>
          <wp:inline distT="0" distB="0" distL="0" distR="0" wp14:anchorId="7489DCA2" wp14:editId="67E2391F">
            <wp:extent cx="5669280" cy="41903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itched_equity_and_drawdowns.png"/>
                    <pic:cNvPicPr/>
                  </pic:nvPicPr>
                  <pic:blipFill>
                    <a:blip r:embed="rId9"/>
                    <a:stretch>
                      <a:fillRect/>
                    </a:stretch>
                  </pic:blipFill>
                  <pic:spPr>
                    <a:xfrm>
                      <a:off x="0" y="0"/>
                      <a:ext cx="5669280" cy="4190337"/>
                    </a:xfrm>
                    <a:prstGeom prst="rect">
                      <a:avLst/>
                    </a:prstGeom>
                  </pic:spPr>
                </pic:pic>
              </a:graphicData>
            </a:graphic>
          </wp:inline>
        </w:drawing>
      </w:r>
    </w:p>
    <w:p w14:paraId="75CA3B9D" w14:textId="77777777" w:rsidR="00F9121E" w:rsidRDefault="00F524FC">
      <w:pPr>
        <w:spacing w:after="120"/>
        <w:jc w:val="center"/>
      </w:pPr>
      <w:r>
        <w:rPr>
          <w:rFonts w:ascii="Calibri" w:hAnsi="Calibri"/>
          <w:i/>
          <w:color w:val="6E6E6E"/>
          <w:sz w:val="17"/>
        </w:rPr>
        <w:t>Figure 6.1. Stitched 6-year compounded equity curves (left) and underwater drawdown profiles (right) across 2020–2025 for Buy &amp; Hold vs. individual Full Hybrid seeds (42, 43, 44) and No-ML Ablation (Seed 42).</w:t>
      </w:r>
    </w:p>
    <w:p w14:paraId="6A5DEE4B" w14:textId="77777777" w:rsidR="00F9121E" w:rsidRDefault="00F524FC">
      <w:pPr>
        <w:pStyle w:val="Heading2"/>
        <w:spacing w:before="240" w:after="80"/>
      </w:pPr>
      <w:r>
        <w:rPr>
          <w:rFonts w:ascii="Calibri" w:hAnsi="Calibri"/>
          <w:color w:val="000000"/>
          <w:sz w:val="23"/>
        </w:rPr>
        <w:t>6.3 Annual Paired Scorecard &amp; Drawdown Dampening</w:t>
      </w:r>
    </w:p>
    <w:p w14:paraId="308BA19E" w14:textId="77777777" w:rsidR="00F9121E" w:rsidRDefault="00F524FC">
      <w:pPr>
        <w:spacing w:after="90"/>
      </w:pPr>
      <w:r>
        <w:rPr>
          <w:rFonts w:ascii="Calibri" w:hAnsi="Calibri"/>
          <w:color w:val="2D2D2D"/>
          <w:sz w:val="20"/>
        </w:rPr>
        <w:t>The annual scorecard across 18 test folds reveals the structural trade-off of risk-constrained trading: - Positive Hybrid Return: 10 out of 18 folds (55.6%); - Hybrid Outperformed Buy &amp; Hold: 5 out of 18 folds (27.8%)—specifically in down/choppy markets (TCS 2022 +16.55% diff; INFY 2022 +11.44% diff; RELIANCE 2023 +2.00% diff; TCS 2023 +3.92% diff; RELIANCE 2024 +1.97% diff); - Buy &amp; Hold Outperformed Hybrid: 13 out of 18 folds (72.2%)—concentrated in bull markets (e.g., INFY 2020 B&amp;H +74.69% vs Hyb +27.83%</w:t>
      </w:r>
      <w:r>
        <w:rPr>
          <w:rFonts w:ascii="Calibri" w:hAnsi="Calibri"/>
          <w:color w:val="2D2D2D"/>
          <w:sz w:val="20"/>
        </w:rPr>
        <w:t>); - Lower Maximum Drawdown: Hybrid achieved lower annual drawdown in 17 out of 18 folds (94.4%). The sole exception was RELIANCE.NS in 2022, where Buy &amp; Hold had a 17.27% drawdown vs Hybrid median drawdown of 17.45%.</w:t>
      </w:r>
    </w:p>
    <w:tbl>
      <w:tblPr>
        <w:tblW w:w="0" w:type="auto"/>
        <w:jc w:val="center"/>
        <w:tblBorders>
          <w:top w:val="single" w:sz="6" w:space="0" w:color="888888"/>
          <w:bottom w:val="single" w:sz="6" w:space="0" w:color="888888"/>
          <w:insideH w:val="single" w:sz="4" w:space="0" w:color="CCCCCC"/>
        </w:tblBorders>
        <w:tblLayout w:type="fixed"/>
        <w:tblLook w:val="04A0" w:firstRow="1" w:lastRow="0" w:firstColumn="1" w:lastColumn="0" w:noHBand="0" w:noVBand="1"/>
      </w:tblPr>
      <w:tblGrid>
        <w:gridCol w:w="1728"/>
        <w:gridCol w:w="1152"/>
        <w:gridCol w:w="1584"/>
        <w:gridCol w:w="1584"/>
        <w:gridCol w:w="1728"/>
        <w:gridCol w:w="1584"/>
      </w:tblGrid>
      <w:tr w:rsidR="00F9121E" w14:paraId="54547682" w14:textId="77777777">
        <w:trPr>
          <w:jc w:val="center"/>
        </w:trPr>
        <w:tc>
          <w:tcPr>
            <w:tcW w:w="1728" w:type="dxa"/>
            <w:shd w:val="clear" w:color="auto" w:fill="F2F2F2"/>
          </w:tcPr>
          <w:p w14:paraId="77C3F33A" w14:textId="77777777" w:rsidR="00F9121E" w:rsidRDefault="00F524FC">
            <w:pPr>
              <w:spacing w:before="40" w:after="40" w:line="252" w:lineRule="auto"/>
              <w:jc w:val="center"/>
            </w:pPr>
            <w:r>
              <w:rPr>
                <w:rFonts w:ascii="Calibri" w:hAnsi="Calibri"/>
                <w:b/>
                <w:color w:val="000000"/>
                <w:sz w:val="17"/>
              </w:rPr>
              <w:t>Asset</w:t>
            </w:r>
          </w:p>
        </w:tc>
        <w:tc>
          <w:tcPr>
            <w:tcW w:w="1152" w:type="dxa"/>
            <w:shd w:val="clear" w:color="auto" w:fill="F2F2F2"/>
          </w:tcPr>
          <w:p w14:paraId="3356E731" w14:textId="77777777" w:rsidR="00F9121E" w:rsidRDefault="00F524FC">
            <w:pPr>
              <w:spacing w:before="40" w:after="40" w:line="252" w:lineRule="auto"/>
              <w:jc w:val="center"/>
            </w:pPr>
            <w:r>
              <w:rPr>
                <w:rFonts w:ascii="Calibri" w:hAnsi="Calibri"/>
                <w:b/>
                <w:color w:val="000000"/>
                <w:sz w:val="17"/>
              </w:rPr>
              <w:t>Year</w:t>
            </w:r>
          </w:p>
        </w:tc>
        <w:tc>
          <w:tcPr>
            <w:tcW w:w="1584" w:type="dxa"/>
            <w:shd w:val="clear" w:color="auto" w:fill="F2F2F2"/>
          </w:tcPr>
          <w:p w14:paraId="27F004AA" w14:textId="77777777" w:rsidR="00F9121E" w:rsidRDefault="00F524FC">
            <w:pPr>
              <w:spacing w:before="40" w:after="40" w:line="252" w:lineRule="auto"/>
              <w:jc w:val="center"/>
            </w:pPr>
            <w:r>
              <w:rPr>
                <w:rFonts w:ascii="Calibri" w:hAnsi="Calibri"/>
                <w:b/>
                <w:color w:val="000000"/>
                <w:sz w:val="17"/>
              </w:rPr>
              <w:t>B&amp;H Return</w:t>
            </w:r>
          </w:p>
        </w:tc>
        <w:tc>
          <w:tcPr>
            <w:tcW w:w="1584" w:type="dxa"/>
            <w:shd w:val="clear" w:color="auto" w:fill="F2F2F2"/>
          </w:tcPr>
          <w:p w14:paraId="3DEFBAA2" w14:textId="77777777" w:rsidR="00F9121E" w:rsidRDefault="00F524FC">
            <w:pPr>
              <w:spacing w:before="40" w:after="40" w:line="252" w:lineRule="auto"/>
              <w:jc w:val="center"/>
            </w:pPr>
            <w:r>
              <w:rPr>
                <w:rFonts w:ascii="Calibri" w:hAnsi="Calibri"/>
                <w:b/>
                <w:color w:val="000000"/>
                <w:sz w:val="17"/>
              </w:rPr>
              <w:t>Hyb Median</w:t>
            </w:r>
          </w:p>
        </w:tc>
        <w:tc>
          <w:tcPr>
            <w:tcW w:w="1728" w:type="dxa"/>
            <w:shd w:val="clear" w:color="auto" w:fill="F2F2F2"/>
          </w:tcPr>
          <w:p w14:paraId="30D7C0A1" w14:textId="77777777" w:rsidR="00F9121E" w:rsidRDefault="00F524FC">
            <w:pPr>
              <w:spacing w:before="40" w:after="40" w:line="252" w:lineRule="auto"/>
              <w:jc w:val="center"/>
            </w:pPr>
            <w:r>
              <w:rPr>
                <w:rFonts w:ascii="Calibri" w:hAnsi="Calibri"/>
                <w:b/>
                <w:color w:val="000000"/>
                <w:sz w:val="17"/>
              </w:rPr>
              <w:t>Return Diff</w:t>
            </w:r>
          </w:p>
        </w:tc>
        <w:tc>
          <w:tcPr>
            <w:tcW w:w="1584" w:type="dxa"/>
            <w:shd w:val="clear" w:color="auto" w:fill="F2F2F2"/>
          </w:tcPr>
          <w:p w14:paraId="6005A9EB" w14:textId="77777777" w:rsidR="00F9121E" w:rsidRDefault="00F524FC">
            <w:pPr>
              <w:spacing w:before="40" w:after="40" w:line="252" w:lineRule="auto"/>
              <w:jc w:val="center"/>
            </w:pPr>
            <w:r>
              <w:rPr>
                <w:rFonts w:ascii="Calibri" w:hAnsi="Calibri"/>
                <w:b/>
                <w:color w:val="000000"/>
                <w:sz w:val="17"/>
              </w:rPr>
              <w:t>Ablation Med</w:t>
            </w:r>
          </w:p>
        </w:tc>
      </w:tr>
      <w:tr w:rsidR="00F9121E" w14:paraId="30DDB2EC" w14:textId="77777777">
        <w:trPr>
          <w:jc w:val="center"/>
        </w:trPr>
        <w:tc>
          <w:tcPr>
            <w:tcW w:w="1728" w:type="dxa"/>
          </w:tcPr>
          <w:p w14:paraId="475346C6" w14:textId="77777777" w:rsidR="00F9121E" w:rsidRDefault="00F524FC">
            <w:pPr>
              <w:spacing w:before="40" w:after="40" w:line="252" w:lineRule="auto"/>
            </w:pPr>
            <w:r>
              <w:rPr>
                <w:rFonts w:ascii="Calibri" w:hAnsi="Calibri"/>
                <w:color w:val="2D2D2D"/>
                <w:sz w:val="17"/>
              </w:rPr>
              <w:t>RELIANCE.NS</w:t>
            </w:r>
          </w:p>
        </w:tc>
        <w:tc>
          <w:tcPr>
            <w:tcW w:w="1152" w:type="dxa"/>
          </w:tcPr>
          <w:p w14:paraId="60CEE2D5" w14:textId="77777777" w:rsidR="00F9121E" w:rsidRDefault="00F524FC">
            <w:pPr>
              <w:spacing w:before="40" w:after="40" w:line="252" w:lineRule="auto"/>
              <w:jc w:val="center"/>
            </w:pPr>
            <w:r>
              <w:rPr>
                <w:rFonts w:ascii="Calibri" w:hAnsi="Calibri"/>
                <w:color w:val="2D2D2D"/>
                <w:sz w:val="17"/>
              </w:rPr>
              <w:t>2020</w:t>
            </w:r>
          </w:p>
        </w:tc>
        <w:tc>
          <w:tcPr>
            <w:tcW w:w="1584" w:type="dxa"/>
          </w:tcPr>
          <w:p w14:paraId="7BE0FB76" w14:textId="77777777" w:rsidR="00F9121E" w:rsidRDefault="00F524FC">
            <w:pPr>
              <w:spacing w:before="40" w:after="40" w:line="252" w:lineRule="auto"/>
              <w:jc w:val="center"/>
            </w:pPr>
            <w:r>
              <w:rPr>
                <w:rFonts w:ascii="Calibri" w:hAnsi="Calibri"/>
                <w:color w:val="2D2D2D"/>
                <w:sz w:val="17"/>
              </w:rPr>
              <w:t>+32.30%</w:t>
            </w:r>
          </w:p>
        </w:tc>
        <w:tc>
          <w:tcPr>
            <w:tcW w:w="1584" w:type="dxa"/>
          </w:tcPr>
          <w:p w14:paraId="011BE844" w14:textId="77777777" w:rsidR="00F9121E" w:rsidRDefault="00F524FC">
            <w:pPr>
              <w:spacing w:before="40" w:after="40" w:line="252" w:lineRule="auto"/>
              <w:jc w:val="center"/>
            </w:pPr>
            <w:r>
              <w:rPr>
                <w:rFonts w:ascii="Calibri" w:hAnsi="Calibri"/>
                <w:color w:val="2D2D2D"/>
                <w:sz w:val="17"/>
              </w:rPr>
              <w:t>0.00% (Cash)</w:t>
            </w:r>
          </w:p>
        </w:tc>
        <w:tc>
          <w:tcPr>
            <w:tcW w:w="1728" w:type="dxa"/>
          </w:tcPr>
          <w:p w14:paraId="26AA18B3" w14:textId="77777777" w:rsidR="00F9121E" w:rsidRDefault="00F524FC">
            <w:pPr>
              <w:spacing w:before="40" w:after="40" w:line="252" w:lineRule="auto"/>
              <w:jc w:val="center"/>
            </w:pPr>
            <w:r>
              <w:rPr>
                <w:rFonts w:ascii="Calibri" w:hAnsi="Calibri"/>
                <w:color w:val="2D2D2D"/>
                <w:sz w:val="17"/>
              </w:rPr>
              <w:t>-32.30%</w:t>
            </w:r>
          </w:p>
        </w:tc>
        <w:tc>
          <w:tcPr>
            <w:tcW w:w="1584" w:type="dxa"/>
          </w:tcPr>
          <w:p w14:paraId="66825402" w14:textId="77777777" w:rsidR="00F9121E" w:rsidRDefault="00F524FC">
            <w:pPr>
              <w:spacing w:before="40" w:after="40" w:line="252" w:lineRule="auto"/>
              <w:jc w:val="center"/>
            </w:pPr>
            <w:r>
              <w:rPr>
                <w:rFonts w:ascii="Calibri" w:hAnsi="Calibri"/>
                <w:color w:val="2D2D2D"/>
                <w:sz w:val="17"/>
              </w:rPr>
              <w:t>+9.89%</w:t>
            </w:r>
          </w:p>
        </w:tc>
      </w:tr>
      <w:tr w:rsidR="00F9121E" w14:paraId="7AB8BBB5" w14:textId="77777777">
        <w:trPr>
          <w:jc w:val="center"/>
        </w:trPr>
        <w:tc>
          <w:tcPr>
            <w:tcW w:w="1728" w:type="dxa"/>
          </w:tcPr>
          <w:p w14:paraId="4425CFF7" w14:textId="77777777" w:rsidR="00F9121E" w:rsidRDefault="00F9121E">
            <w:pPr>
              <w:spacing w:before="40" w:after="40" w:line="252" w:lineRule="auto"/>
            </w:pPr>
          </w:p>
        </w:tc>
        <w:tc>
          <w:tcPr>
            <w:tcW w:w="1152" w:type="dxa"/>
          </w:tcPr>
          <w:p w14:paraId="79A81476" w14:textId="77777777" w:rsidR="00F9121E" w:rsidRDefault="00F524FC">
            <w:pPr>
              <w:spacing w:before="40" w:after="40" w:line="252" w:lineRule="auto"/>
              <w:jc w:val="center"/>
            </w:pPr>
            <w:r>
              <w:rPr>
                <w:rFonts w:ascii="Calibri" w:hAnsi="Calibri"/>
                <w:color w:val="2D2D2D"/>
                <w:sz w:val="17"/>
              </w:rPr>
              <w:t>2022</w:t>
            </w:r>
          </w:p>
        </w:tc>
        <w:tc>
          <w:tcPr>
            <w:tcW w:w="1584" w:type="dxa"/>
          </w:tcPr>
          <w:p w14:paraId="4025FBFC" w14:textId="77777777" w:rsidR="00F9121E" w:rsidRDefault="00F524FC">
            <w:pPr>
              <w:spacing w:before="40" w:after="40" w:line="252" w:lineRule="auto"/>
              <w:jc w:val="center"/>
            </w:pPr>
            <w:r>
              <w:rPr>
                <w:rFonts w:ascii="Calibri" w:hAnsi="Calibri"/>
                <w:color w:val="2D2D2D"/>
                <w:sz w:val="17"/>
              </w:rPr>
              <w:t>+7.84%</w:t>
            </w:r>
          </w:p>
        </w:tc>
        <w:tc>
          <w:tcPr>
            <w:tcW w:w="1584" w:type="dxa"/>
          </w:tcPr>
          <w:p w14:paraId="0C40DBF9" w14:textId="77777777" w:rsidR="00F9121E" w:rsidRDefault="00F524FC">
            <w:pPr>
              <w:spacing w:before="40" w:after="40" w:line="252" w:lineRule="auto"/>
              <w:jc w:val="center"/>
            </w:pPr>
            <w:r>
              <w:rPr>
                <w:rFonts w:ascii="Calibri" w:hAnsi="Calibri"/>
                <w:color w:val="2D2D2D"/>
                <w:sz w:val="17"/>
              </w:rPr>
              <w:t>-12.07%</w:t>
            </w:r>
          </w:p>
        </w:tc>
        <w:tc>
          <w:tcPr>
            <w:tcW w:w="1728" w:type="dxa"/>
          </w:tcPr>
          <w:p w14:paraId="2F43A8BD" w14:textId="77777777" w:rsidR="00F9121E" w:rsidRDefault="00F524FC">
            <w:pPr>
              <w:spacing w:before="40" w:after="40" w:line="252" w:lineRule="auto"/>
              <w:jc w:val="center"/>
            </w:pPr>
            <w:r>
              <w:rPr>
                <w:rFonts w:ascii="Calibri" w:hAnsi="Calibri"/>
                <w:color w:val="2D2D2D"/>
                <w:sz w:val="17"/>
              </w:rPr>
              <w:t>-19.90%</w:t>
            </w:r>
          </w:p>
        </w:tc>
        <w:tc>
          <w:tcPr>
            <w:tcW w:w="1584" w:type="dxa"/>
          </w:tcPr>
          <w:p w14:paraId="51AD26DD" w14:textId="77777777" w:rsidR="00F9121E" w:rsidRDefault="00F524FC">
            <w:pPr>
              <w:spacing w:before="40" w:after="40" w:line="252" w:lineRule="auto"/>
              <w:jc w:val="center"/>
            </w:pPr>
            <w:r>
              <w:rPr>
                <w:rFonts w:ascii="Calibri" w:hAnsi="Calibri"/>
                <w:color w:val="2D2D2D"/>
                <w:sz w:val="17"/>
              </w:rPr>
              <w:t>-7.36%</w:t>
            </w:r>
          </w:p>
        </w:tc>
      </w:tr>
      <w:tr w:rsidR="00F9121E" w14:paraId="271FACA1" w14:textId="77777777">
        <w:trPr>
          <w:jc w:val="center"/>
        </w:trPr>
        <w:tc>
          <w:tcPr>
            <w:tcW w:w="1728" w:type="dxa"/>
          </w:tcPr>
          <w:p w14:paraId="1C05FD47" w14:textId="77777777" w:rsidR="00F9121E" w:rsidRDefault="00F9121E">
            <w:pPr>
              <w:spacing w:before="40" w:after="40" w:line="252" w:lineRule="auto"/>
            </w:pPr>
          </w:p>
        </w:tc>
        <w:tc>
          <w:tcPr>
            <w:tcW w:w="1152" w:type="dxa"/>
          </w:tcPr>
          <w:p w14:paraId="2CD23D46" w14:textId="77777777" w:rsidR="00F9121E" w:rsidRDefault="00F524FC">
            <w:pPr>
              <w:spacing w:before="40" w:after="40" w:line="252" w:lineRule="auto"/>
              <w:jc w:val="center"/>
            </w:pPr>
            <w:r>
              <w:rPr>
                <w:rFonts w:ascii="Calibri" w:hAnsi="Calibri"/>
                <w:color w:val="2D2D2D"/>
                <w:sz w:val="17"/>
              </w:rPr>
              <w:t>2023</w:t>
            </w:r>
          </w:p>
        </w:tc>
        <w:tc>
          <w:tcPr>
            <w:tcW w:w="1584" w:type="dxa"/>
          </w:tcPr>
          <w:p w14:paraId="18856DEA" w14:textId="77777777" w:rsidR="00F9121E" w:rsidRDefault="00F524FC">
            <w:pPr>
              <w:spacing w:before="40" w:after="40" w:line="252" w:lineRule="auto"/>
              <w:jc w:val="center"/>
            </w:pPr>
            <w:r>
              <w:rPr>
                <w:rFonts w:ascii="Calibri" w:hAnsi="Calibri"/>
                <w:color w:val="2D2D2D"/>
                <w:sz w:val="17"/>
              </w:rPr>
              <w:t>+10.00%</w:t>
            </w:r>
          </w:p>
        </w:tc>
        <w:tc>
          <w:tcPr>
            <w:tcW w:w="1584" w:type="dxa"/>
          </w:tcPr>
          <w:p w14:paraId="51D6686C" w14:textId="77777777" w:rsidR="00F9121E" w:rsidRDefault="00F524FC">
            <w:pPr>
              <w:spacing w:before="40" w:after="40" w:line="252" w:lineRule="auto"/>
              <w:jc w:val="center"/>
            </w:pPr>
            <w:r>
              <w:rPr>
                <w:rFonts w:ascii="Calibri" w:hAnsi="Calibri"/>
                <w:color w:val="2D2D2D"/>
                <w:sz w:val="17"/>
              </w:rPr>
              <w:t>+12.00%</w:t>
            </w:r>
          </w:p>
        </w:tc>
        <w:tc>
          <w:tcPr>
            <w:tcW w:w="1728" w:type="dxa"/>
          </w:tcPr>
          <w:p w14:paraId="2970DCD7" w14:textId="77777777" w:rsidR="00F9121E" w:rsidRDefault="00F524FC">
            <w:pPr>
              <w:spacing w:before="40" w:after="40" w:line="252" w:lineRule="auto"/>
              <w:jc w:val="center"/>
            </w:pPr>
            <w:r>
              <w:rPr>
                <w:rFonts w:ascii="Calibri" w:hAnsi="Calibri"/>
                <w:color w:val="2D2D2D"/>
                <w:sz w:val="17"/>
              </w:rPr>
              <w:t>+2.00%</w:t>
            </w:r>
          </w:p>
        </w:tc>
        <w:tc>
          <w:tcPr>
            <w:tcW w:w="1584" w:type="dxa"/>
          </w:tcPr>
          <w:p w14:paraId="69D4E345" w14:textId="77777777" w:rsidR="00F9121E" w:rsidRDefault="00F524FC">
            <w:pPr>
              <w:spacing w:before="40" w:after="40" w:line="252" w:lineRule="auto"/>
              <w:jc w:val="center"/>
            </w:pPr>
            <w:r>
              <w:rPr>
                <w:rFonts w:ascii="Calibri" w:hAnsi="Calibri"/>
                <w:color w:val="2D2D2D"/>
                <w:sz w:val="17"/>
              </w:rPr>
              <w:t>+7.60%</w:t>
            </w:r>
          </w:p>
        </w:tc>
      </w:tr>
      <w:tr w:rsidR="00F9121E" w14:paraId="69351997" w14:textId="77777777">
        <w:trPr>
          <w:jc w:val="center"/>
        </w:trPr>
        <w:tc>
          <w:tcPr>
            <w:tcW w:w="1728" w:type="dxa"/>
          </w:tcPr>
          <w:p w14:paraId="052E58CF" w14:textId="77777777" w:rsidR="00F9121E" w:rsidRDefault="00F524FC">
            <w:pPr>
              <w:spacing w:before="40" w:after="40" w:line="252" w:lineRule="auto"/>
            </w:pPr>
            <w:r>
              <w:rPr>
                <w:rFonts w:ascii="Calibri" w:hAnsi="Calibri"/>
                <w:color w:val="2D2D2D"/>
                <w:sz w:val="17"/>
              </w:rPr>
              <w:t>TCS.NS</w:t>
            </w:r>
          </w:p>
        </w:tc>
        <w:tc>
          <w:tcPr>
            <w:tcW w:w="1152" w:type="dxa"/>
          </w:tcPr>
          <w:p w14:paraId="5E11B924" w14:textId="77777777" w:rsidR="00F9121E" w:rsidRDefault="00F524FC">
            <w:pPr>
              <w:spacing w:before="40" w:after="40" w:line="252" w:lineRule="auto"/>
              <w:jc w:val="center"/>
            </w:pPr>
            <w:r>
              <w:rPr>
                <w:rFonts w:ascii="Calibri" w:hAnsi="Calibri"/>
                <w:color w:val="2D2D2D"/>
                <w:sz w:val="17"/>
              </w:rPr>
              <w:t>2022</w:t>
            </w:r>
          </w:p>
        </w:tc>
        <w:tc>
          <w:tcPr>
            <w:tcW w:w="1584" w:type="dxa"/>
          </w:tcPr>
          <w:p w14:paraId="68F87FE7" w14:textId="77777777" w:rsidR="00F9121E" w:rsidRDefault="00F524FC">
            <w:pPr>
              <w:spacing w:before="40" w:after="40" w:line="252" w:lineRule="auto"/>
              <w:jc w:val="center"/>
            </w:pPr>
            <w:r>
              <w:rPr>
                <w:rFonts w:ascii="Calibri" w:hAnsi="Calibri"/>
                <w:color w:val="2D2D2D"/>
                <w:sz w:val="17"/>
              </w:rPr>
              <w:t>-12.13%</w:t>
            </w:r>
          </w:p>
        </w:tc>
        <w:tc>
          <w:tcPr>
            <w:tcW w:w="1584" w:type="dxa"/>
          </w:tcPr>
          <w:p w14:paraId="204FBB5A" w14:textId="77777777" w:rsidR="00F9121E" w:rsidRDefault="00F524FC">
            <w:pPr>
              <w:spacing w:before="40" w:after="40" w:line="252" w:lineRule="auto"/>
              <w:jc w:val="center"/>
            </w:pPr>
            <w:r>
              <w:rPr>
                <w:rFonts w:ascii="Calibri" w:hAnsi="Calibri"/>
                <w:color w:val="2D2D2D"/>
                <w:sz w:val="17"/>
              </w:rPr>
              <w:t>+4.41%</w:t>
            </w:r>
          </w:p>
        </w:tc>
        <w:tc>
          <w:tcPr>
            <w:tcW w:w="1728" w:type="dxa"/>
          </w:tcPr>
          <w:p w14:paraId="2DD33DE5" w14:textId="77777777" w:rsidR="00F9121E" w:rsidRDefault="00F524FC">
            <w:pPr>
              <w:spacing w:before="40" w:after="40" w:line="252" w:lineRule="auto"/>
              <w:jc w:val="center"/>
            </w:pPr>
            <w:r>
              <w:rPr>
                <w:rFonts w:ascii="Calibri" w:hAnsi="Calibri"/>
                <w:color w:val="2D2D2D"/>
                <w:sz w:val="17"/>
              </w:rPr>
              <w:t>+16.55%</w:t>
            </w:r>
          </w:p>
        </w:tc>
        <w:tc>
          <w:tcPr>
            <w:tcW w:w="1584" w:type="dxa"/>
          </w:tcPr>
          <w:p w14:paraId="1BFA37A3" w14:textId="77777777" w:rsidR="00F9121E" w:rsidRDefault="00F524FC">
            <w:pPr>
              <w:spacing w:before="40" w:after="40" w:line="252" w:lineRule="auto"/>
              <w:jc w:val="center"/>
            </w:pPr>
            <w:r>
              <w:rPr>
                <w:rFonts w:ascii="Calibri" w:hAnsi="Calibri"/>
                <w:color w:val="2D2D2D"/>
                <w:sz w:val="17"/>
              </w:rPr>
              <w:t>-2.44%</w:t>
            </w:r>
          </w:p>
        </w:tc>
      </w:tr>
      <w:tr w:rsidR="00F9121E" w14:paraId="5AA02814" w14:textId="77777777">
        <w:trPr>
          <w:jc w:val="center"/>
        </w:trPr>
        <w:tc>
          <w:tcPr>
            <w:tcW w:w="1728" w:type="dxa"/>
          </w:tcPr>
          <w:p w14:paraId="3523AA98" w14:textId="77777777" w:rsidR="00F9121E" w:rsidRDefault="00F9121E">
            <w:pPr>
              <w:spacing w:before="40" w:after="40" w:line="252" w:lineRule="auto"/>
            </w:pPr>
          </w:p>
        </w:tc>
        <w:tc>
          <w:tcPr>
            <w:tcW w:w="1152" w:type="dxa"/>
          </w:tcPr>
          <w:p w14:paraId="345462E9" w14:textId="77777777" w:rsidR="00F9121E" w:rsidRDefault="00F524FC">
            <w:pPr>
              <w:spacing w:before="40" w:after="40" w:line="252" w:lineRule="auto"/>
              <w:jc w:val="center"/>
            </w:pPr>
            <w:r>
              <w:rPr>
                <w:rFonts w:ascii="Calibri" w:hAnsi="Calibri"/>
                <w:color w:val="2D2D2D"/>
                <w:sz w:val="17"/>
              </w:rPr>
              <w:t>2023</w:t>
            </w:r>
          </w:p>
        </w:tc>
        <w:tc>
          <w:tcPr>
            <w:tcW w:w="1584" w:type="dxa"/>
          </w:tcPr>
          <w:p w14:paraId="24634862" w14:textId="77777777" w:rsidR="00F9121E" w:rsidRDefault="00F524FC">
            <w:pPr>
              <w:spacing w:before="40" w:after="40" w:line="252" w:lineRule="auto"/>
              <w:jc w:val="center"/>
            </w:pPr>
            <w:r>
              <w:rPr>
                <w:rFonts w:ascii="Calibri" w:hAnsi="Calibri"/>
                <w:color w:val="2D2D2D"/>
                <w:sz w:val="17"/>
              </w:rPr>
              <w:t>+20.24%</w:t>
            </w:r>
          </w:p>
        </w:tc>
        <w:tc>
          <w:tcPr>
            <w:tcW w:w="1584" w:type="dxa"/>
          </w:tcPr>
          <w:p w14:paraId="0FDC92E0" w14:textId="77777777" w:rsidR="00F9121E" w:rsidRDefault="00F524FC">
            <w:pPr>
              <w:spacing w:before="40" w:after="40" w:line="252" w:lineRule="auto"/>
              <w:jc w:val="center"/>
            </w:pPr>
            <w:r>
              <w:rPr>
                <w:rFonts w:ascii="Calibri" w:hAnsi="Calibri"/>
                <w:color w:val="2D2D2D"/>
                <w:sz w:val="17"/>
              </w:rPr>
              <w:t>+24.16%</w:t>
            </w:r>
          </w:p>
        </w:tc>
        <w:tc>
          <w:tcPr>
            <w:tcW w:w="1728" w:type="dxa"/>
          </w:tcPr>
          <w:p w14:paraId="1BFB427D" w14:textId="77777777" w:rsidR="00F9121E" w:rsidRDefault="00F524FC">
            <w:pPr>
              <w:spacing w:before="40" w:after="40" w:line="252" w:lineRule="auto"/>
              <w:jc w:val="center"/>
            </w:pPr>
            <w:r>
              <w:rPr>
                <w:rFonts w:ascii="Calibri" w:hAnsi="Calibri"/>
                <w:color w:val="2D2D2D"/>
                <w:sz w:val="17"/>
              </w:rPr>
              <w:t>+3.92%</w:t>
            </w:r>
          </w:p>
        </w:tc>
        <w:tc>
          <w:tcPr>
            <w:tcW w:w="1584" w:type="dxa"/>
          </w:tcPr>
          <w:p w14:paraId="11328836" w14:textId="77777777" w:rsidR="00F9121E" w:rsidRDefault="00F524FC">
            <w:pPr>
              <w:spacing w:before="40" w:after="40" w:line="252" w:lineRule="auto"/>
              <w:jc w:val="center"/>
            </w:pPr>
            <w:r>
              <w:rPr>
                <w:rFonts w:ascii="Calibri" w:hAnsi="Calibri"/>
                <w:color w:val="2D2D2D"/>
                <w:sz w:val="17"/>
              </w:rPr>
              <w:t>+10.97%</w:t>
            </w:r>
          </w:p>
        </w:tc>
      </w:tr>
      <w:tr w:rsidR="00F9121E" w14:paraId="02DB5A8E" w14:textId="77777777">
        <w:trPr>
          <w:jc w:val="center"/>
        </w:trPr>
        <w:tc>
          <w:tcPr>
            <w:tcW w:w="1728" w:type="dxa"/>
          </w:tcPr>
          <w:p w14:paraId="4D2E6467" w14:textId="77777777" w:rsidR="00F9121E" w:rsidRDefault="00F524FC">
            <w:pPr>
              <w:spacing w:before="40" w:after="40" w:line="252" w:lineRule="auto"/>
            </w:pPr>
            <w:r>
              <w:rPr>
                <w:rFonts w:ascii="Calibri" w:hAnsi="Calibri"/>
                <w:color w:val="2D2D2D"/>
                <w:sz w:val="17"/>
              </w:rPr>
              <w:t>INFY.NS</w:t>
            </w:r>
          </w:p>
        </w:tc>
        <w:tc>
          <w:tcPr>
            <w:tcW w:w="1152" w:type="dxa"/>
          </w:tcPr>
          <w:p w14:paraId="07CE94CB" w14:textId="77777777" w:rsidR="00F9121E" w:rsidRDefault="00F524FC">
            <w:pPr>
              <w:spacing w:before="40" w:after="40" w:line="252" w:lineRule="auto"/>
              <w:jc w:val="center"/>
            </w:pPr>
            <w:r>
              <w:rPr>
                <w:rFonts w:ascii="Calibri" w:hAnsi="Calibri"/>
                <w:color w:val="2D2D2D"/>
                <w:sz w:val="17"/>
              </w:rPr>
              <w:t>2022</w:t>
            </w:r>
          </w:p>
        </w:tc>
        <w:tc>
          <w:tcPr>
            <w:tcW w:w="1584" w:type="dxa"/>
          </w:tcPr>
          <w:p w14:paraId="1B2EED44" w14:textId="77777777" w:rsidR="00F9121E" w:rsidRDefault="00F524FC">
            <w:pPr>
              <w:spacing w:before="40" w:after="40" w:line="252" w:lineRule="auto"/>
              <w:jc w:val="center"/>
            </w:pPr>
            <w:r>
              <w:rPr>
                <w:rFonts w:ascii="Calibri" w:hAnsi="Calibri"/>
                <w:color w:val="2D2D2D"/>
                <w:sz w:val="17"/>
              </w:rPr>
              <w:t>-18.54%</w:t>
            </w:r>
          </w:p>
        </w:tc>
        <w:tc>
          <w:tcPr>
            <w:tcW w:w="1584" w:type="dxa"/>
          </w:tcPr>
          <w:p w14:paraId="7251020C" w14:textId="77777777" w:rsidR="00F9121E" w:rsidRDefault="00F524FC">
            <w:pPr>
              <w:spacing w:before="40" w:after="40" w:line="252" w:lineRule="auto"/>
              <w:jc w:val="center"/>
            </w:pPr>
            <w:r>
              <w:rPr>
                <w:rFonts w:ascii="Calibri" w:hAnsi="Calibri"/>
                <w:color w:val="2D2D2D"/>
                <w:sz w:val="17"/>
              </w:rPr>
              <w:t>-7.10%</w:t>
            </w:r>
          </w:p>
        </w:tc>
        <w:tc>
          <w:tcPr>
            <w:tcW w:w="1728" w:type="dxa"/>
          </w:tcPr>
          <w:p w14:paraId="28C876FA" w14:textId="77777777" w:rsidR="00F9121E" w:rsidRDefault="00F524FC">
            <w:pPr>
              <w:spacing w:before="40" w:after="40" w:line="252" w:lineRule="auto"/>
              <w:jc w:val="center"/>
            </w:pPr>
            <w:r>
              <w:rPr>
                <w:rFonts w:ascii="Calibri" w:hAnsi="Calibri"/>
                <w:color w:val="2D2D2D"/>
                <w:sz w:val="17"/>
              </w:rPr>
              <w:t>+11.44%</w:t>
            </w:r>
          </w:p>
        </w:tc>
        <w:tc>
          <w:tcPr>
            <w:tcW w:w="1584" w:type="dxa"/>
          </w:tcPr>
          <w:p w14:paraId="2D892EF6" w14:textId="77777777" w:rsidR="00F9121E" w:rsidRDefault="00F524FC">
            <w:pPr>
              <w:spacing w:before="40" w:after="40" w:line="252" w:lineRule="auto"/>
              <w:jc w:val="center"/>
            </w:pPr>
            <w:r>
              <w:rPr>
                <w:rFonts w:ascii="Calibri" w:hAnsi="Calibri"/>
                <w:color w:val="2D2D2D"/>
                <w:sz w:val="17"/>
              </w:rPr>
              <w:t>-9.69%</w:t>
            </w:r>
          </w:p>
        </w:tc>
      </w:tr>
    </w:tbl>
    <w:p w14:paraId="342D9C21" w14:textId="77777777" w:rsidR="00F9121E" w:rsidRDefault="00F524FC">
      <w:pPr>
        <w:spacing w:before="40" w:after="120"/>
      </w:pPr>
      <w:r>
        <w:rPr>
          <w:i/>
          <w:color w:val="6E6E6E"/>
          <w:sz w:val="17"/>
        </w:rPr>
        <w:t>Table 6.3. Representative annual paired comparisons illustrating market-stress outperformance vs bull-market drag.</w:t>
      </w:r>
    </w:p>
    <w:p w14:paraId="54CB6DB7" w14:textId="77777777" w:rsidR="00F9121E" w:rsidRDefault="00F524FC">
      <w:pPr>
        <w:pStyle w:val="Heading2"/>
        <w:spacing w:before="240" w:after="80"/>
      </w:pPr>
      <w:r>
        <w:rPr>
          <w:rFonts w:ascii="Calibri" w:hAnsi="Calibri"/>
          <w:color w:val="000000"/>
          <w:sz w:val="23"/>
        </w:rPr>
        <w:lastRenderedPageBreak/>
        <w:t xml:space="preserve">6.4 </w:t>
      </w:r>
      <w:r>
        <w:rPr>
          <w:rFonts w:ascii="Calibri" w:hAnsi="Calibri"/>
          <w:color w:val="000000"/>
          <w:sz w:val="23"/>
        </w:rPr>
        <w:t>Ablation and Exposure-Matched Diagnostic</w:t>
      </w:r>
    </w:p>
    <w:p w14:paraId="1B3CDA27" w14:textId="77777777" w:rsidR="00F9121E" w:rsidRDefault="00F524FC">
      <w:pPr>
        <w:spacing w:after="90"/>
      </w:pPr>
      <w:r>
        <w:rPr>
          <w:rFonts w:ascii="Calibri" w:hAnsi="Calibri"/>
          <w:color w:val="2D2D2D"/>
          <w:sz w:val="20"/>
        </w:rPr>
        <w:t>When NSGA-II evolved rules with a constant probability (p=0.60, omitting ML features), the Ablation achieved 6-year stitched returns of +42.42% for RELIANCE.NS, +47.37% for TCS.NS, and +18.69% for INFY.NS—exceeding the Full Hybrid on all assets. Furthermore, an Exposure-Matched Buy &amp; Hold diagnostic blending passive holding with cash based on the Hybrid's development exposure fraction (w_dev) outperformed the Full Hybrid in 29 of 54 runs (53.7%), while the Hybrid outperformed in 22 runs (40.7%), with 3 ties</w:t>
      </w:r>
      <w:r>
        <w:rPr>
          <w:rFonts w:ascii="Calibri" w:hAnsi="Calibri"/>
          <w:color w:val="2D2D2D"/>
          <w:sz w:val="20"/>
        </w:rPr>
        <w:t xml:space="preserve"> (RELIANCE 2020 cash fallbacks). Exposure-Matched Buy &amp; Hold exhibited lower maximum drawdown than the Full Hybrid in 43 of 54 runs (79.6%). This diagnostic assumes daily frictionless rebalancing and 0% cash return. Across these historical folds, technical metaheuristic rules provided lower annual drawdowns, but LightGBM probability hurdles restricted market participation without producing higher compound returns.</w:t>
      </w:r>
    </w:p>
    <w:p w14:paraId="0889C763" w14:textId="77777777" w:rsidR="00F9121E" w:rsidRDefault="00F524FC">
      <w:pPr>
        <w:pStyle w:val="Heading2"/>
        <w:spacing w:before="240" w:after="80"/>
      </w:pPr>
      <w:r>
        <w:rPr>
          <w:rFonts w:ascii="Calibri" w:hAnsi="Calibri"/>
          <w:color w:val="000000"/>
          <w:sz w:val="23"/>
        </w:rPr>
        <w:t>6.5 Transaction Cost Sensitivity &amp; Slippage Shift</w:t>
      </w:r>
    </w:p>
    <w:p w14:paraId="28B2E3CD" w14:textId="77777777" w:rsidR="00F9121E" w:rsidRDefault="00F524FC">
      <w:pPr>
        <w:spacing w:after="90"/>
      </w:pPr>
      <w:r>
        <w:rPr>
          <w:rFonts w:ascii="Calibri" w:hAnsi="Calibri"/>
          <w:color w:val="2D2D2D"/>
          <w:sz w:val="20"/>
        </w:rPr>
        <w:t>Under doubled transaction friction (0.10% commission + 0.10% slippage per side, 0.20% per side, approximately 40 bps round-trip), total returns dropped sharply: RELIANCE.NS Seed 42 fell from -6.58% to -25.41% (-18.83 pp), TCS.NS Seed 43 fell from +25.60% to +19.61% (-5.99 pp), and INFY.NS Seed 44 declined from +27.88% to -7.97% (-35.85 pp) (Table 6.4). Slippage operates non-linearly: higher entry prices elevate absolute ATR stop prices, causing intrabar stops to trigger on sessions that would have otherwise</w:t>
      </w:r>
      <w:r>
        <w:rPr>
          <w:rFonts w:ascii="Calibri" w:hAnsi="Calibri"/>
          <w:color w:val="2D2D2D"/>
          <w:sz w:val="20"/>
        </w:rPr>
        <w:t xml:space="preserve"> remained open.</w:t>
      </w:r>
    </w:p>
    <w:tbl>
      <w:tblPr>
        <w:tblW w:w="0" w:type="auto"/>
        <w:jc w:val="center"/>
        <w:tblBorders>
          <w:top w:val="single" w:sz="6" w:space="0" w:color="888888"/>
          <w:bottom w:val="single" w:sz="6" w:space="0" w:color="888888"/>
          <w:insideH w:val="single" w:sz="4" w:space="0" w:color="CCCCCC"/>
        </w:tblBorders>
        <w:tblLayout w:type="fixed"/>
        <w:tblLook w:val="04A0" w:firstRow="1" w:lastRow="0" w:firstColumn="1" w:lastColumn="0" w:noHBand="0" w:noVBand="1"/>
      </w:tblPr>
      <w:tblGrid>
        <w:gridCol w:w="1872"/>
        <w:gridCol w:w="1152"/>
        <w:gridCol w:w="1584"/>
        <w:gridCol w:w="1584"/>
        <w:gridCol w:w="1584"/>
        <w:gridCol w:w="1584"/>
      </w:tblGrid>
      <w:tr w:rsidR="00F9121E" w14:paraId="5A7C8185" w14:textId="77777777">
        <w:trPr>
          <w:jc w:val="center"/>
        </w:trPr>
        <w:tc>
          <w:tcPr>
            <w:tcW w:w="1872" w:type="dxa"/>
            <w:shd w:val="clear" w:color="auto" w:fill="F2F2F2"/>
          </w:tcPr>
          <w:p w14:paraId="71DA0A35" w14:textId="77777777" w:rsidR="00F9121E" w:rsidRDefault="00F524FC">
            <w:pPr>
              <w:spacing w:before="40" w:after="40" w:line="252" w:lineRule="auto"/>
              <w:jc w:val="center"/>
            </w:pPr>
            <w:r>
              <w:rPr>
                <w:rFonts w:ascii="Calibri" w:hAnsi="Calibri"/>
                <w:b/>
                <w:color w:val="000000"/>
                <w:sz w:val="17"/>
              </w:rPr>
              <w:t>Asset</w:t>
            </w:r>
          </w:p>
        </w:tc>
        <w:tc>
          <w:tcPr>
            <w:tcW w:w="1152" w:type="dxa"/>
            <w:shd w:val="clear" w:color="auto" w:fill="F2F2F2"/>
          </w:tcPr>
          <w:p w14:paraId="54C6922E" w14:textId="77777777" w:rsidR="00F9121E" w:rsidRDefault="00F524FC">
            <w:pPr>
              <w:spacing w:before="40" w:after="40" w:line="252" w:lineRule="auto"/>
              <w:jc w:val="center"/>
            </w:pPr>
            <w:r>
              <w:rPr>
                <w:rFonts w:ascii="Calibri" w:hAnsi="Calibri"/>
                <w:b/>
                <w:color w:val="000000"/>
                <w:sz w:val="17"/>
              </w:rPr>
              <w:t>GA Seed</w:t>
            </w:r>
          </w:p>
        </w:tc>
        <w:tc>
          <w:tcPr>
            <w:tcW w:w="1584" w:type="dxa"/>
            <w:shd w:val="clear" w:color="auto" w:fill="F2F2F2"/>
          </w:tcPr>
          <w:p w14:paraId="60E2E386" w14:textId="77777777" w:rsidR="00F9121E" w:rsidRDefault="00F524FC">
            <w:pPr>
              <w:spacing w:before="40" w:after="40" w:line="252" w:lineRule="auto"/>
              <w:jc w:val="center"/>
            </w:pPr>
            <w:r>
              <w:rPr>
                <w:rFonts w:ascii="Calibri" w:hAnsi="Calibri"/>
                <w:b/>
                <w:color w:val="000000"/>
                <w:sz w:val="17"/>
              </w:rPr>
              <w:t>1x Total Ret</w:t>
            </w:r>
          </w:p>
        </w:tc>
        <w:tc>
          <w:tcPr>
            <w:tcW w:w="1584" w:type="dxa"/>
            <w:shd w:val="clear" w:color="auto" w:fill="F2F2F2"/>
          </w:tcPr>
          <w:p w14:paraId="7B3F6C55" w14:textId="77777777" w:rsidR="00F9121E" w:rsidRDefault="00F524FC">
            <w:pPr>
              <w:spacing w:before="40" w:after="40" w:line="252" w:lineRule="auto"/>
              <w:jc w:val="center"/>
            </w:pPr>
            <w:r>
              <w:rPr>
                <w:rFonts w:ascii="Calibri" w:hAnsi="Calibri"/>
                <w:b/>
                <w:color w:val="000000"/>
                <w:sz w:val="17"/>
              </w:rPr>
              <w:t>2x Total Ret</w:t>
            </w:r>
          </w:p>
        </w:tc>
        <w:tc>
          <w:tcPr>
            <w:tcW w:w="1584" w:type="dxa"/>
            <w:shd w:val="clear" w:color="auto" w:fill="F2F2F2"/>
          </w:tcPr>
          <w:p w14:paraId="4B2C0538" w14:textId="77777777" w:rsidR="00F9121E" w:rsidRDefault="00F524FC">
            <w:pPr>
              <w:spacing w:before="40" w:after="40" w:line="252" w:lineRule="auto"/>
              <w:jc w:val="center"/>
            </w:pPr>
            <w:r>
              <w:rPr>
                <w:rFonts w:ascii="Calibri" w:hAnsi="Calibri"/>
                <w:b/>
                <w:color w:val="000000"/>
                <w:sz w:val="17"/>
              </w:rPr>
              <w:t>Return Diff</w:t>
            </w:r>
          </w:p>
        </w:tc>
        <w:tc>
          <w:tcPr>
            <w:tcW w:w="1584" w:type="dxa"/>
            <w:shd w:val="clear" w:color="auto" w:fill="F2F2F2"/>
          </w:tcPr>
          <w:p w14:paraId="72D1176C" w14:textId="77777777" w:rsidR="00F9121E" w:rsidRDefault="00F524FC">
            <w:pPr>
              <w:spacing w:before="40" w:after="40" w:line="252" w:lineRule="auto"/>
              <w:jc w:val="center"/>
            </w:pPr>
            <w:r>
              <w:rPr>
                <w:rFonts w:ascii="Calibri" w:hAnsi="Calibri"/>
                <w:b/>
                <w:color w:val="000000"/>
                <w:sz w:val="17"/>
              </w:rPr>
              <w:t>1x Sharpe</w:t>
            </w:r>
          </w:p>
        </w:tc>
      </w:tr>
      <w:tr w:rsidR="00F9121E" w14:paraId="05D8657C" w14:textId="77777777">
        <w:trPr>
          <w:jc w:val="center"/>
        </w:trPr>
        <w:tc>
          <w:tcPr>
            <w:tcW w:w="1872" w:type="dxa"/>
          </w:tcPr>
          <w:p w14:paraId="7581ABBF" w14:textId="77777777" w:rsidR="00F9121E" w:rsidRDefault="00F524FC">
            <w:pPr>
              <w:spacing w:before="40" w:after="40" w:line="252" w:lineRule="auto"/>
            </w:pPr>
            <w:r>
              <w:rPr>
                <w:rFonts w:ascii="Calibri" w:hAnsi="Calibri"/>
                <w:color w:val="2D2D2D"/>
                <w:sz w:val="17"/>
              </w:rPr>
              <w:t>RELIANCE.NS</w:t>
            </w:r>
          </w:p>
        </w:tc>
        <w:tc>
          <w:tcPr>
            <w:tcW w:w="1152" w:type="dxa"/>
          </w:tcPr>
          <w:p w14:paraId="0AA6B5D3" w14:textId="77777777" w:rsidR="00F9121E" w:rsidRDefault="00F524FC">
            <w:pPr>
              <w:spacing w:before="40" w:after="40" w:line="252" w:lineRule="auto"/>
              <w:jc w:val="center"/>
            </w:pPr>
            <w:r>
              <w:rPr>
                <w:rFonts w:ascii="Calibri" w:hAnsi="Calibri"/>
                <w:color w:val="2D2D2D"/>
                <w:sz w:val="17"/>
              </w:rPr>
              <w:t>42</w:t>
            </w:r>
          </w:p>
        </w:tc>
        <w:tc>
          <w:tcPr>
            <w:tcW w:w="1584" w:type="dxa"/>
          </w:tcPr>
          <w:p w14:paraId="389A27CF" w14:textId="77777777" w:rsidR="00F9121E" w:rsidRDefault="00F524FC">
            <w:pPr>
              <w:spacing w:before="40" w:after="40" w:line="252" w:lineRule="auto"/>
              <w:jc w:val="center"/>
            </w:pPr>
            <w:r>
              <w:rPr>
                <w:rFonts w:ascii="Calibri" w:hAnsi="Calibri"/>
                <w:color w:val="2D2D2D"/>
                <w:sz w:val="17"/>
              </w:rPr>
              <w:t>-6.58%</w:t>
            </w:r>
          </w:p>
        </w:tc>
        <w:tc>
          <w:tcPr>
            <w:tcW w:w="1584" w:type="dxa"/>
          </w:tcPr>
          <w:p w14:paraId="0CF606F8" w14:textId="77777777" w:rsidR="00F9121E" w:rsidRDefault="00F524FC">
            <w:pPr>
              <w:spacing w:before="40" w:after="40" w:line="252" w:lineRule="auto"/>
              <w:jc w:val="center"/>
            </w:pPr>
            <w:r>
              <w:rPr>
                <w:rFonts w:ascii="Calibri" w:hAnsi="Calibri"/>
                <w:color w:val="2D2D2D"/>
                <w:sz w:val="17"/>
              </w:rPr>
              <w:t>-25.41%</w:t>
            </w:r>
          </w:p>
        </w:tc>
        <w:tc>
          <w:tcPr>
            <w:tcW w:w="1584" w:type="dxa"/>
          </w:tcPr>
          <w:p w14:paraId="5576189B" w14:textId="77777777" w:rsidR="00F9121E" w:rsidRDefault="00F524FC">
            <w:pPr>
              <w:spacing w:before="40" w:after="40" w:line="252" w:lineRule="auto"/>
              <w:jc w:val="center"/>
            </w:pPr>
            <w:r>
              <w:rPr>
                <w:rFonts w:ascii="Calibri" w:hAnsi="Calibri"/>
                <w:color w:val="2D2D2D"/>
                <w:sz w:val="17"/>
              </w:rPr>
              <w:t>-18.83 pp</w:t>
            </w:r>
          </w:p>
        </w:tc>
        <w:tc>
          <w:tcPr>
            <w:tcW w:w="1584" w:type="dxa"/>
          </w:tcPr>
          <w:p w14:paraId="2E9ADB36" w14:textId="77777777" w:rsidR="00F9121E" w:rsidRDefault="00F524FC">
            <w:pPr>
              <w:spacing w:before="40" w:after="40" w:line="252" w:lineRule="auto"/>
              <w:jc w:val="center"/>
            </w:pPr>
            <w:r>
              <w:rPr>
                <w:rFonts w:ascii="Calibri" w:hAnsi="Calibri"/>
                <w:color w:val="2D2D2D"/>
                <w:sz w:val="17"/>
              </w:rPr>
              <w:t>-0.07</w:t>
            </w:r>
          </w:p>
        </w:tc>
      </w:tr>
      <w:tr w:rsidR="00F9121E" w14:paraId="0DD16582" w14:textId="77777777">
        <w:trPr>
          <w:jc w:val="center"/>
        </w:trPr>
        <w:tc>
          <w:tcPr>
            <w:tcW w:w="1872" w:type="dxa"/>
          </w:tcPr>
          <w:p w14:paraId="59BA08BB" w14:textId="77777777" w:rsidR="00F9121E" w:rsidRDefault="00F524FC">
            <w:pPr>
              <w:spacing w:before="40" w:after="40" w:line="252" w:lineRule="auto"/>
            </w:pPr>
            <w:r>
              <w:rPr>
                <w:rFonts w:ascii="Calibri" w:hAnsi="Calibri"/>
                <w:color w:val="2D2D2D"/>
                <w:sz w:val="17"/>
              </w:rPr>
              <w:t>TCS.NS</w:t>
            </w:r>
          </w:p>
        </w:tc>
        <w:tc>
          <w:tcPr>
            <w:tcW w:w="1152" w:type="dxa"/>
          </w:tcPr>
          <w:p w14:paraId="50EDE119" w14:textId="77777777" w:rsidR="00F9121E" w:rsidRDefault="00F524FC">
            <w:pPr>
              <w:spacing w:before="40" w:after="40" w:line="252" w:lineRule="auto"/>
              <w:jc w:val="center"/>
            </w:pPr>
            <w:r>
              <w:rPr>
                <w:rFonts w:ascii="Calibri" w:hAnsi="Calibri"/>
                <w:color w:val="2D2D2D"/>
                <w:sz w:val="17"/>
              </w:rPr>
              <w:t>43</w:t>
            </w:r>
          </w:p>
        </w:tc>
        <w:tc>
          <w:tcPr>
            <w:tcW w:w="1584" w:type="dxa"/>
          </w:tcPr>
          <w:p w14:paraId="50E15CE4" w14:textId="77777777" w:rsidR="00F9121E" w:rsidRDefault="00F524FC">
            <w:pPr>
              <w:spacing w:before="40" w:after="40" w:line="252" w:lineRule="auto"/>
              <w:jc w:val="center"/>
            </w:pPr>
            <w:r>
              <w:rPr>
                <w:rFonts w:ascii="Calibri" w:hAnsi="Calibri"/>
                <w:color w:val="2D2D2D"/>
                <w:sz w:val="17"/>
              </w:rPr>
              <w:t>+25.60%</w:t>
            </w:r>
          </w:p>
        </w:tc>
        <w:tc>
          <w:tcPr>
            <w:tcW w:w="1584" w:type="dxa"/>
          </w:tcPr>
          <w:p w14:paraId="70B56460" w14:textId="77777777" w:rsidR="00F9121E" w:rsidRDefault="00F524FC">
            <w:pPr>
              <w:spacing w:before="40" w:after="40" w:line="252" w:lineRule="auto"/>
              <w:jc w:val="center"/>
            </w:pPr>
            <w:r>
              <w:rPr>
                <w:rFonts w:ascii="Calibri" w:hAnsi="Calibri"/>
                <w:color w:val="2D2D2D"/>
                <w:sz w:val="17"/>
              </w:rPr>
              <w:t>+19.61%</w:t>
            </w:r>
          </w:p>
        </w:tc>
        <w:tc>
          <w:tcPr>
            <w:tcW w:w="1584" w:type="dxa"/>
          </w:tcPr>
          <w:p w14:paraId="79D8B700" w14:textId="77777777" w:rsidR="00F9121E" w:rsidRDefault="00F524FC">
            <w:pPr>
              <w:spacing w:before="40" w:after="40" w:line="252" w:lineRule="auto"/>
              <w:jc w:val="center"/>
            </w:pPr>
            <w:r>
              <w:rPr>
                <w:rFonts w:ascii="Calibri" w:hAnsi="Calibri"/>
                <w:color w:val="2D2D2D"/>
                <w:sz w:val="17"/>
              </w:rPr>
              <w:t>-5.99 pp</w:t>
            </w:r>
          </w:p>
        </w:tc>
        <w:tc>
          <w:tcPr>
            <w:tcW w:w="1584" w:type="dxa"/>
          </w:tcPr>
          <w:p w14:paraId="09F16C38" w14:textId="77777777" w:rsidR="00F9121E" w:rsidRDefault="00F524FC">
            <w:pPr>
              <w:spacing w:before="40" w:after="40" w:line="252" w:lineRule="auto"/>
              <w:jc w:val="center"/>
            </w:pPr>
            <w:r>
              <w:rPr>
                <w:rFonts w:ascii="Calibri" w:hAnsi="Calibri"/>
                <w:color w:val="2D2D2D"/>
                <w:sz w:val="17"/>
              </w:rPr>
              <w:t>+0.44</w:t>
            </w:r>
          </w:p>
        </w:tc>
      </w:tr>
      <w:tr w:rsidR="00F9121E" w14:paraId="526D457C" w14:textId="77777777">
        <w:trPr>
          <w:jc w:val="center"/>
        </w:trPr>
        <w:tc>
          <w:tcPr>
            <w:tcW w:w="1872" w:type="dxa"/>
          </w:tcPr>
          <w:p w14:paraId="352FD271" w14:textId="77777777" w:rsidR="00F9121E" w:rsidRDefault="00F524FC">
            <w:pPr>
              <w:spacing w:before="40" w:after="40" w:line="252" w:lineRule="auto"/>
            </w:pPr>
            <w:r>
              <w:rPr>
                <w:rFonts w:ascii="Calibri" w:hAnsi="Calibri"/>
                <w:color w:val="2D2D2D"/>
                <w:sz w:val="17"/>
              </w:rPr>
              <w:t>INFY.NS</w:t>
            </w:r>
          </w:p>
        </w:tc>
        <w:tc>
          <w:tcPr>
            <w:tcW w:w="1152" w:type="dxa"/>
          </w:tcPr>
          <w:p w14:paraId="06A904F5" w14:textId="77777777" w:rsidR="00F9121E" w:rsidRDefault="00F524FC">
            <w:pPr>
              <w:spacing w:before="40" w:after="40" w:line="252" w:lineRule="auto"/>
              <w:jc w:val="center"/>
            </w:pPr>
            <w:r>
              <w:rPr>
                <w:rFonts w:ascii="Calibri" w:hAnsi="Calibri"/>
                <w:color w:val="2D2D2D"/>
                <w:sz w:val="17"/>
              </w:rPr>
              <w:t>44</w:t>
            </w:r>
          </w:p>
        </w:tc>
        <w:tc>
          <w:tcPr>
            <w:tcW w:w="1584" w:type="dxa"/>
          </w:tcPr>
          <w:p w14:paraId="1D2FDE8F" w14:textId="77777777" w:rsidR="00F9121E" w:rsidRDefault="00F524FC">
            <w:pPr>
              <w:spacing w:before="40" w:after="40" w:line="252" w:lineRule="auto"/>
              <w:jc w:val="center"/>
            </w:pPr>
            <w:r>
              <w:rPr>
                <w:rFonts w:ascii="Calibri" w:hAnsi="Calibri"/>
                <w:color w:val="2D2D2D"/>
                <w:sz w:val="17"/>
              </w:rPr>
              <w:t>+27.88%</w:t>
            </w:r>
          </w:p>
        </w:tc>
        <w:tc>
          <w:tcPr>
            <w:tcW w:w="1584" w:type="dxa"/>
          </w:tcPr>
          <w:p w14:paraId="5079C63A" w14:textId="77777777" w:rsidR="00F9121E" w:rsidRDefault="00F524FC">
            <w:pPr>
              <w:spacing w:before="40" w:after="40" w:line="252" w:lineRule="auto"/>
              <w:jc w:val="center"/>
            </w:pPr>
            <w:r>
              <w:rPr>
                <w:rFonts w:ascii="Calibri" w:hAnsi="Calibri"/>
                <w:color w:val="2D2D2D"/>
                <w:sz w:val="17"/>
              </w:rPr>
              <w:t>-7.97%</w:t>
            </w:r>
          </w:p>
        </w:tc>
        <w:tc>
          <w:tcPr>
            <w:tcW w:w="1584" w:type="dxa"/>
          </w:tcPr>
          <w:p w14:paraId="6AB67456" w14:textId="77777777" w:rsidR="00F9121E" w:rsidRDefault="00F524FC">
            <w:pPr>
              <w:spacing w:before="40" w:after="40" w:line="252" w:lineRule="auto"/>
              <w:jc w:val="center"/>
            </w:pPr>
            <w:r>
              <w:rPr>
                <w:rFonts w:ascii="Calibri" w:hAnsi="Calibri"/>
                <w:color w:val="2D2D2D"/>
                <w:sz w:val="17"/>
              </w:rPr>
              <w:t>-35.85 pp</w:t>
            </w:r>
          </w:p>
        </w:tc>
        <w:tc>
          <w:tcPr>
            <w:tcW w:w="1584" w:type="dxa"/>
          </w:tcPr>
          <w:p w14:paraId="7499FC34" w14:textId="77777777" w:rsidR="00F9121E" w:rsidRDefault="00F524FC">
            <w:pPr>
              <w:spacing w:before="40" w:after="40" w:line="252" w:lineRule="auto"/>
              <w:jc w:val="center"/>
            </w:pPr>
            <w:r>
              <w:rPr>
                <w:rFonts w:ascii="Calibri" w:hAnsi="Calibri"/>
                <w:color w:val="2D2D2D"/>
                <w:sz w:val="17"/>
              </w:rPr>
              <w:t>+0.36</w:t>
            </w:r>
          </w:p>
        </w:tc>
      </w:tr>
    </w:tbl>
    <w:p w14:paraId="450F83C8" w14:textId="77777777" w:rsidR="00F9121E" w:rsidRDefault="00F524FC">
      <w:pPr>
        <w:spacing w:before="40" w:after="120"/>
      </w:pPr>
      <w:r>
        <w:rPr>
          <w:i/>
          <w:color w:val="6E6E6E"/>
          <w:sz w:val="17"/>
        </w:rPr>
        <w:t>Table 6.4. Transaction cost sensitivity under standard (20 bps) vs doubled (40 bps) round-trip friction.</w:t>
      </w:r>
    </w:p>
    <w:p w14:paraId="7F3F7269" w14:textId="77777777" w:rsidR="00F9121E" w:rsidRDefault="00F524FC">
      <w:pPr>
        <w:keepNext/>
        <w:spacing w:before="120" w:after="40"/>
        <w:jc w:val="center"/>
      </w:pPr>
      <w:r>
        <w:rPr>
          <w:noProof/>
        </w:rPr>
        <w:drawing>
          <wp:inline distT="0" distB="0" distL="0" distR="0" wp14:anchorId="6CB64748" wp14:editId="27D97A03">
            <wp:extent cx="5120640" cy="213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d_variability_boxplots.png"/>
                    <pic:cNvPicPr/>
                  </pic:nvPicPr>
                  <pic:blipFill>
                    <a:blip r:embed="rId10"/>
                    <a:stretch>
                      <a:fillRect/>
                    </a:stretch>
                  </pic:blipFill>
                  <pic:spPr>
                    <a:xfrm>
                      <a:off x="0" y="0"/>
                      <a:ext cx="5120640" cy="2133600"/>
                    </a:xfrm>
                    <a:prstGeom prst="rect">
                      <a:avLst/>
                    </a:prstGeom>
                  </pic:spPr>
                </pic:pic>
              </a:graphicData>
            </a:graphic>
          </wp:inline>
        </w:drawing>
      </w:r>
    </w:p>
    <w:p w14:paraId="40150F6B" w14:textId="77777777" w:rsidR="00F9121E" w:rsidRDefault="00F524FC">
      <w:pPr>
        <w:spacing w:after="120"/>
        <w:jc w:val="center"/>
      </w:pPr>
      <w:r>
        <w:rPr>
          <w:rFonts w:ascii="Calibri" w:hAnsi="Calibri"/>
          <w:i/>
          <w:color w:val="6E6E6E"/>
          <w:sz w:val="17"/>
        </w:rPr>
        <w:t>Figure 6.2. Multi-seed performance distributions (Seeds 42, 43, 44) across strategy variants.</w:t>
      </w:r>
    </w:p>
    <w:p w14:paraId="02FD5DA8" w14:textId="77777777" w:rsidR="00F9121E" w:rsidRDefault="00F524FC">
      <w:pPr>
        <w:keepNext/>
        <w:spacing w:before="120" w:after="40"/>
        <w:jc w:val="center"/>
      </w:pPr>
      <w:r>
        <w:rPr>
          <w:noProof/>
        </w:rPr>
        <w:lastRenderedPageBreak/>
        <w:drawing>
          <wp:inline distT="0" distB="0" distL="0" distR="0" wp14:anchorId="5D2A8B72" wp14:editId="443483C2">
            <wp:extent cx="4937760" cy="34564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return_scatter.png"/>
                    <pic:cNvPicPr/>
                  </pic:nvPicPr>
                  <pic:blipFill>
                    <a:blip r:embed="rId11"/>
                    <a:stretch>
                      <a:fillRect/>
                    </a:stretch>
                  </pic:blipFill>
                  <pic:spPr>
                    <a:xfrm>
                      <a:off x="0" y="0"/>
                      <a:ext cx="4937760" cy="3456432"/>
                    </a:xfrm>
                    <a:prstGeom prst="rect">
                      <a:avLst/>
                    </a:prstGeom>
                  </pic:spPr>
                </pic:pic>
              </a:graphicData>
            </a:graphic>
          </wp:inline>
        </w:drawing>
      </w:r>
    </w:p>
    <w:p w14:paraId="4CFEAB14" w14:textId="77777777" w:rsidR="00F9121E" w:rsidRDefault="00F524FC">
      <w:pPr>
        <w:spacing w:after="120"/>
        <w:jc w:val="center"/>
      </w:pPr>
      <w:r>
        <w:rPr>
          <w:rFonts w:ascii="Calibri" w:hAnsi="Calibri"/>
          <w:i/>
          <w:color w:val="6E6E6E"/>
          <w:sz w:val="17"/>
        </w:rPr>
        <w:t>Figure 6.3. Annual fold risk-return scatter (Annualized Sharpe vs Total Return).</w:t>
      </w:r>
    </w:p>
    <w:p w14:paraId="60F60F2F" w14:textId="77777777" w:rsidR="00F9121E" w:rsidRDefault="00F524FC">
      <w:pPr>
        <w:pStyle w:val="Heading1"/>
        <w:spacing w:before="360" w:after="120"/>
      </w:pPr>
      <w:bookmarkStart w:id="6" w:name="_Toc242739353"/>
      <w:r>
        <w:rPr>
          <w:rFonts w:ascii="Calibri" w:hAnsi="Calibri"/>
          <w:color w:val="000000"/>
          <w:sz w:val="24"/>
        </w:rPr>
        <w:t>CHAPTER 7</w:t>
      </w:r>
      <w:r>
        <w:rPr>
          <w:rFonts w:ascii="Calibri" w:hAnsi="Calibri"/>
          <w:color w:val="000000"/>
          <w:sz w:val="24"/>
        </w:rPr>
        <w:br/>
      </w:r>
      <w:r>
        <w:rPr>
          <w:rFonts w:ascii="Calibri" w:hAnsi="Calibri"/>
          <w:color w:val="000000"/>
          <w:sz w:val="30"/>
        </w:rPr>
        <w:t>Automated Verification, Unit Testing &amp; Reproducibility</w:t>
      </w:r>
      <w:bookmarkEnd w:id="6"/>
    </w:p>
    <w:p w14:paraId="5AB164A6" w14:textId="77777777" w:rsidR="00F9121E" w:rsidRDefault="00F524FC">
      <w:pPr>
        <w:pStyle w:val="Heading2"/>
        <w:spacing w:before="240" w:after="80"/>
      </w:pPr>
      <w:r>
        <w:rPr>
          <w:rFonts w:ascii="Calibri" w:hAnsi="Calibri"/>
          <w:color w:val="000000"/>
          <w:sz w:val="23"/>
        </w:rPr>
        <w:t>7.1 Regression Test Suite</w:t>
      </w:r>
    </w:p>
    <w:p w14:paraId="626F27B1" w14:textId="77777777" w:rsidR="00F9121E" w:rsidRDefault="00F524FC">
      <w:pPr>
        <w:spacing w:after="90"/>
      </w:pPr>
      <w:r>
        <w:rPr>
          <w:rFonts w:ascii="Calibri" w:hAnsi="Calibri"/>
          <w:color w:val="2D2D2D"/>
          <w:sz w:val="20"/>
        </w:rPr>
        <w:t>The project includes an automated pytest suite covering Numba simulator execution timing, gap handling, stop-loss priority, chronological split purging, real-fold offline reproducibility, trailing zero-volume liquidation, and final-day entry prohibition. All tests pass offline in ~8 seconds with zero network calls.</w:t>
      </w:r>
    </w:p>
    <w:p w14:paraId="5D52A703" w14:textId="77777777" w:rsidR="00F9121E" w:rsidRDefault="00F524FC">
      <w:pPr>
        <w:pStyle w:val="Heading2"/>
        <w:spacing w:before="240" w:after="80"/>
      </w:pPr>
      <w:r>
        <w:rPr>
          <w:rFonts w:ascii="Calibri" w:hAnsi="Calibri"/>
          <w:color w:val="000000"/>
          <w:sz w:val="23"/>
        </w:rPr>
        <w:t>7.2 Campaign-Wide Automated Reproducibility Audit</w:t>
      </w:r>
    </w:p>
    <w:p w14:paraId="46DE05A4" w14:textId="77777777" w:rsidR="00F9121E" w:rsidRDefault="00F524FC">
      <w:pPr>
        <w:spacing w:after="90"/>
      </w:pPr>
      <w:r>
        <w:rPr>
          <w:rFonts w:ascii="Calibri" w:hAnsi="Calibri"/>
          <w:color w:val="2D2D2D"/>
          <w:sz w:val="20"/>
        </w:rPr>
        <w:t>A standalone verification script (scripts/audit_campaign_reproducibility.py) re-runs all 18 annual folds across all 3 seeds with monkeypatched yfinance download blockers, asserting that chosen chromosome genes match saved artifacts within 10^-12 and equity curves match within 10^-7. The audit evaluated 306 assertions with zero mismatches, confirming complete bit-level code reproducibility. Furthermore, scripts/verify_numerical_claims.py programmatically asserts all 47 quantitative claims reported across thi</w:t>
      </w:r>
      <w:r>
        <w:rPr>
          <w:rFonts w:ascii="Calibri" w:hAnsi="Calibri"/>
          <w:color w:val="2D2D2D"/>
          <w:sz w:val="20"/>
        </w:rPr>
        <w:t>s capstone report against the underlying experiment CSV and JSON files with 100% pass rate.</w:t>
      </w:r>
    </w:p>
    <w:p w14:paraId="4E8B3F77" w14:textId="77777777" w:rsidR="00F9121E" w:rsidRDefault="00F524FC">
      <w:pPr>
        <w:pStyle w:val="Heading1"/>
        <w:spacing w:before="360" w:after="120"/>
      </w:pPr>
      <w:bookmarkStart w:id="7" w:name="_Toc242739354"/>
      <w:r>
        <w:rPr>
          <w:rFonts w:ascii="Calibri" w:hAnsi="Calibri"/>
          <w:color w:val="000000"/>
          <w:sz w:val="24"/>
        </w:rPr>
        <w:t>CHAPTER 8</w:t>
      </w:r>
      <w:r>
        <w:rPr>
          <w:rFonts w:ascii="Calibri" w:hAnsi="Calibri"/>
          <w:color w:val="000000"/>
          <w:sz w:val="24"/>
        </w:rPr>
        <w:br/>
      </w:r>
      <w:r>
        <w:rPr>
          <w:rFonts w:ascii="Calibri" w:hAnsi="Calibri"/>
          <w:color w:val="000000"/>
          <w:sz w:val="30"/>
        </w:rPr>
        <w:t>Methodological Limitations &amp; Research Boundaries</w:t>
      </w:r>
      <w:bookmarkEnd w:id="7"/>
    </w:p>
    <w:p w14:paraId="4F0E9EBB" w14:textId="77777777" w:rsidR="00F9121E" w:rsidRDefault="00F524FC">
      <w:pPr>
        <w:spacing w:after="90"/>
      </w:pPr>
      <w:r>
        <w:rPr>
          <w:rFonts w:ascii="Calibri" w:hAnsi="Calibri"/>
          <w:color w:val="2D2D2D"/>
          <w:sz w:val="20"/>
        </w:rPr>
        <w:t xml:space="preserve">The empirical conclusions are bounded by four key constraints: (1) Single-Asset Isolated Evaluation: Strategies are evaluated on individual stocks; cross-asset portfolio diversification and risk parity are not modeled; (2) Multi-Year vs Annual Drawdown Asymmetry: Lower annual drawdowns in 17 of 18 folds do not guarantee lower multi-year </w:t>
      </w:r>
      <w:r>
        <w:rPr>
          <w:rFonts w:ascii="Calibri" w:hAnsi="Calibri"/>
          <w:color w:val="2D2D2D"/>
          <w:sz w:val="20"/>
        </w:rPr>
        <w:lastRenderedPageBreak/>
        <w:t>risk. On INFY.NS, the Hybrid 6-year maximum drawdown reached 37.16% compared to 35.93% for Buy &amp; Hold, illustrating how compounded capital erosion can produce deeper multi-year drawdowns; (3) Survivorship Bias: The universe is limited to large-cap equities surviving through 2025; (4) Corporate Action Adjusted Data: Backward-adjusted OHLC series from Yahoo Finance are used rather than raw exchange order books; (5) Retrospective Protocol Corrections: The walk-forward protocol was refined through versioned ret</w:t>
      </w:r>
      <w:r>
        <w:rPr>
          <w:rFonts w:ascii="Calibri" w:hAnsi="Calibri"/>
          <w:color w:val="2D2D2D"/>
          <w:sz w:val="20"/>
        </w:rPr>
        <w:t>rospective audit corrections (v1.1.0 in protocol_correction.json).</w:t>
      </w:r>
    </w:p>
    <w:p w14:paraId="7EEC585A" w14:textId="77777777" w:rsidR="00F9121E" w:rsidRDefault="00F524FC">
      <w:pPr>
        <w:pStyle w:val="Heading1"/>
        <w:spacing w:before="360" w:after="120"/>
      </w:pPr>
      <w:bookmarkStart w:id="8" w:name="_Toc242739355"/>
      <w:r>
        <w:rPr>
          <w:rFonts w:ascii="Calibri" w:hAnsi="Calibri"/>
          <w:color w:val="000000"/>
          <w:sz w:val="24"/>
        </w:rPr>
        <w:t>CHAPTER 9</w:t>
      </w:r>
      <w:r>
        <w:rPr>
          <w:rFonts w:ascii="Calibri" w:hAnsi="Calibri"/>
          <w:color w:val="000000"/>
          <w:sz w:val="24"/>
        </w:rPr>
        <w:br/>
      </w:r>
      <w:r>
        <w:rPr>
          <w:rFonts w:ascii="Calibri" w:hAnsi="Calibri"/>
          <w:color w:val="000000"/>
          <w:sz w:val="30"/>
        </w:rPr>
        <w:t>Conclusion &amp; Future Directions</w:t>
      </w:r>
      <w:bookmarkEnd w:id="8"/>
    </w:p>
    <w:p w14:paraId="4C066E87" w14:textId="77777777" w:rsidR="00F9121E" w:rsidRDefault="00F524FC">
      <w:pPr>
        <w:spacing w:after="90"/>
      </w:pPr>
      <w:r>
        <w:rPr>
          <w:rFonts w:ascii="Calibri" w:hAnsi="Calibri"/>
          <w:color w:val="2D2D2D"/>
          <w:sz w:val="20"/>
        </w:rPr>
        <w:t>This capstone project engineered and evaluated a Two-Tier Computational Intelligence trading system combining LightGBM and NSGA-II. Through strict walk-forward evaluation on three NSE equities over 2020–2025, the research established that while evolutionary rules achieved lower annual drawdowns in 94.4% of folds, defensive cash-holding imposed substantial opportunity costs during secular bull regimes, resulting in lower multi-year compounded wealth than Buy &amp; Hold. Technical parameter search without ML sign</w:t>
      </w:r>
      <w:r>
        <w:rPr>
          <w:rFonts w:ascii="Calibri" w:hAnsi="Calibri"/>
          <w:color w:val="2D2D2D"/>
          <w:sz w:val="20"/>
        </w:rPr>
        <w:t>als produced equivalent or superior returns. These empirical findings highlight the substantial opportunity costs associated with defensive capital allocation in trending equity markets.</w:t>
      </w:r>
    </w:p>
    <w:p w14:paraId="2DCB185F" w14:textId="77777777" w:rsidR="00F9121E" w:rsidRDefault="00F524FC">
      <w:pPr>
        <w:pStyle w:val="Heading1"/>
        <w:spacing w:before="360" w:after="120"/>
      </w:pPr>
      <w:bookmarkStart w:id="9" w:name="_Toc242739356"/>
      <w:r>
        <w:rPr>
          <w:rFonts w:ascii="Calibri" w:hAnsi="Calibri"/>
          <w:color w:val="000000"/>
        </w:rPr>
        <w:t>REFERENCES</w:t>
      </w:r>
      <w:bookmarkEnd w:id="9"/>
    </w:p>
    <w:p w14:paraId="6372BA7E" w14:textId="77777777" w:rsidR="00F9121E" w:rsidRDefault="00F524FC">
      <w:pPr>
        <w:spacing w:before="20" w:after="60"/>
        <w:ind w:left="360" w:hanging="360"/>
      </w:pPr>
      <w:r>
        <w:rPr>
          <w:rFonts w:ascii="Calibri" w:hAnsi="Calibri"/>
          <w:color w:val="2D2D2D"/>
          <w:sz w:val="17"/>
        </w:rPr>
        <w:t>[1] K. Deb, A. Pratap, S. Agarwal, and T. Meyarivan, "A fast and elitist multiobjective genetic algorithm: NSGA-II," IEEE Transactions on Evolutionary Computation, vol. 6, no. 2, pp. 182–197, Apr. 2002. DOI: 10.1109/4235.996017.</w:t>
      </w:r>
    </w:p>
    <w:p w14:paraId="436966A3" w14:textId="77777777" w:rsidR="00F9121E" w:rsidRDefault="00F524FC">
      <w:pPr>
        <w:spacing w:before="20" w:after="60"/>
        <w:ind w:left="360" w:hanging="360"/>
      </w:pPr>
      <w:r>
        <w:rPr>
          <w:rFonts w:ascii="Calibri" w:hAnsi="Calibri"/>
          <w:color w:val="2D2D2D"/>
          <w:sz w:val="17"/>
        </w:rPr>
        <w:t>[2] G. Ke, Q. Meng, T. Finley, T. Wang, W. Chen, W. Ma, Q. Ye, and T.-Y. Liu, "LightGBM: A highly efficient gradient boosting decision tree," in Advances in Neural Information Processing Systems 30 (NIPS 2017), Long Beach, CA, USA, 2017, pp. 3146–3154.</w:t>
      </w:r>
    </w:p>
    <w:p w14:paraId="3D936683" w14:textId="77777777" w:rsidR="00F9121E" w:rsidRDefault="00F524FC">
      <w:pPr>
        <w:spacing w:before="20" w:after="60"/>
        <w:ind w:left="360" w:hanging="360"/>
      </w:pPr>
      <w:r>
        <w:rPr>
          <w:rFonts w:ascii="Calibri" w:hAnsi="Calibri"/>
          <w:color w:val="2D2D2D"/>
          <w:sz w:val="17"/>
        </w:rPr>
        <w:t>[3] M. López de Prado, Advances in Financial Machine Learning. Hoboken, NJ, USA: John Wiley &amp; Sons, 2018. ISBN: 978-1119482086.</w:t>
      </w:r>
    </w:p>
    <w:p w14:paraId="5AD08DA0" w14:textId="77777777" w:rsidR="00F9121E" w:rsidRDefault="00F524FC">
      <w:pPr>
        <w:spacing w:before="20" w:after="60"/>
        <w:ind w:left="360" w:hanging="360"/>
      </w:pPr>
      <w:r>
        <w:rPr>
          <w:rFonts w:ascii="Calibri" w:hAnsi="Calibri"/>
          <w:color w:val="2D2D2D"/>
          <w:sz w:val="17"/>
        </w:rPr>
        <w:t>[4] D. H. Bailey and M. López de Prado, "The deflated Sharpe ratio: Correcting for selection bias, backtest overfitting and non-normality," The Journal of Portfolio Management, vol. 40, no. 5, pp. 94–107, 2014. DOI: 10.3905/jpm.2014.40.5.094.</w:t>
      </w:r>
    </w:p>
    <w:p w14:paraId="0DD60B65" w14:textId="77777777" w:rsidR="00F9121E" w:rsidRDefault="00F524FC">
      <w:pPr>
        <w:spacing w:before="20" w:after="60"/>
        <w:ind w:left="360" w:hanging="360"/>
      </w:pPr>
      <w:r>
        <w:rPr>
          <w:rFonts w:ascii="Calibri" w:hAnsi="Calibri"/>
          <w:color w:val="2D2D2D"/>
          <w:sz w:val="17"/>
        </w:rPr>
        <w:t>[5] H. White, "A reality check for data snooping," Econometrica, vol. 68, no. 5, pp. 1097–1126, Sep. 2000. DOI: 10.1111/1468-0262.00152.</w:t>
      </w:r>
    </w:p>
    <w:p w14:paraId="677FD41E" w14:textId="77777777" w:rsidR="00F9121E" w:rsidRDefault="00F524FC">
      <w:pPr>
        <w:spacing w:before="20" w:after="60"/>
        <w:ind w:left="360" w:hanging="360"/>
      </w:pPr>
      <w:r>
        <w:rPr>
          <w:rFonts w:ascii="Calibri" w:hAnsi="Calibri"/>
          <w:color w:val="2D2D2D"/>
          <w:sz w:val="17"/>
        </w:rPr>
        <w:t>[6] E. F. Fama, "Efficient capital markets: A review of theory and empirical work," The Journal of Finance, vol. 25, no. 2, pp. 383–417, May 1970. DOI: 10.2307/2325486.</w:t>
      </w:r>
    </w:p>
    <w:p w14:paraId="2DF9661B" w14:textId="77777777" w:rsidR="00F9121E" w:rsidRDefault="00F524FC">
      <w:pPr>
        <w:spacing w:before="20" w:after="60"/>
        <w:ind w:left="360" w:hanging="360"/>
      </w:pPr>
      <w:r>
        <w:rPr>
          <w:rFonts w:ascii="Calibri" w:hAnsi="Calibri"/>
          <w:color w:val="2D2D2D"/>
          <w:sz w:val="17"/>
        </w:rPr>
        <w:t>[7] R. Aroussi et al., "yfinance: Download market data from Yahoo! Finance," Python package documentation, 2024–2026. [Online]. Available: https://github.com/ranaroussi/yfinance.</w:t>
      </w:r>
    </w:p>
    <w:sectPr w:rsidR="00F9121E" w:rsidSect="00034616">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53017" w14:textId="77777777" w:rsidR="00F524FC" w:rsidRDefault="00F524FC">
      <w:pPr>
        <w:spacing w:after="0" w:line="240" w:lineRule="auto"/>
      </w:pPr>
      <w:r>
        <w:separator/>
      </w:r>
    </w:p>
  </w:endnote>
  <w:endnote w:type="continuationSeparator" w:id="0">
    <w:p w14:paraId="21047046" w14:textId="77777777" w:rsidR="00F524FC" w:rsidRDefault="00F524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BC11B" w14:textId="77777777" w:rsidR="00F9121E" w:rsidRDefault="00F524FC">
    <w:pPr>
      <w:pStyle w:val="Footer"/>
      <w:jc w:val="center"/>
    </w:pPr>
    <w:r>
      <w:rPr>
        <w:rFonts w:ascii="Calibri" w:hAnsi="Calibri"/>
        <w:color w:val="6E6E6E"/>
        <w:sz w:val="17"/>
      </w:rPr>
      <w:t>Department of Computer Science, Manipal Institute of Technology —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9F7BE" w14:textId="77777777" w:rsidR="00F524FC" w:rsidRDefault="00F524FC">
      <w:pPr>
        <w:spacing w:after="0" w:line="240" w:lineRule="auto"/>
      </w:pPr>
      <w:r>
        <w:separator/>
      </w:r>
    </w:p>
  </w:footnote>
  <w:footnote w:type="continuationSeparator" w:id="0">
    <w:p w14:paraId="027C8BD3" w14:textId="77777777" w:rsidR="00F524FC" w:rsidRDefault="00F524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B6926" w14:textId="77777777" w:rsidR="00F9121E" w:rsidRDefault="00F524FC">
    <w:pPr>
      <w:pStyle w:val="Header"/>
      <w:jc w:val="right"/>
    </w:pPr>
    <w:r>
      <w:rPr>
        <w:rFonts w:ascii="Calibri" w:hAnsi="Calibri"/>
        <w:color w:val="6E6E6E"/>
        <w:sz w:val="17"/>
      </w:rPr>
      <w:t>Minor Specialization Project Report | MIT Manipal (Computer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747535">
    <w:abstractNumId w:val="8"/>
  </w:num>
  <w:num w:numId="2" w16cid:durableId="537015315">
    <w:abstractNumId w:val="6"/>
  </w:num>
  <w:num w:numId="3" w16cid:durableId="166674821">
    <w:abstractNumId w:val="5"/>
  </w:num>
  <w:num w:numId="4" w16cid:durableId="311757940">
    <w:abstractNumId w:val="4"/>
  </w:num>
  <w:num w:numId="5" w16cid:durableId="515507217">
    <w:abstractNumId w:val="7"/>
  </w:num>
  <w:num w:numId="6" w16cid:durableId="569275133">
    <w:abstractNumId w:val="3"/>
  </w:num>
  <w:num w:numId="7" w16cid:durableId="2143692427">
    <w:abstractNumId w:val="2"/>
  </w:num>
  <w:num w:numId="8" w16cid:durableId="1207331624">
    <w:abstractNumId w:val="1"/>
  </w:num>
  <w:num w:numId="9" w16cid:durableId="1405179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34BBC"/>
    <w:rsid w:val="00AA1D8D"/>
    <w:rsid w:val="00B47730"/>
    <w:rsid w:val="00CB0664"/>
    <w:rsid w:val="00E8433A"/>
    <w:rsid w:val="00F524FC"/>
    <w:rsid w:val="00F912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010BB0"/>
  <w14:defaultImageDpi w14:val="300"/>
  <w15:docId w15:val="{CB0F8D93-7A6D-44E9-82B5-BB4E556B8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34BBC"/>
    <w:pPr>
      <w:spacing w:after="100"/>
    </w:pPr>
  </w:style>
  <w:style w:type="character" w:styleId="Hyperlink">
    <w:name w:val="Hyperlink"/>
    <w:basedOn w:val="DefaultParagraphFont"/>
    <w:uiPriority w:val="99"/>
    <w:unhideWhenUsed/>
    <w:rsid w:val="00934BB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4374</Words>
  <Characters>24935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Ashish Ranjan - 123167558 - MITBLR</cp:lastModifiedBy>
  <cp:revision>2</cp:revision>
  <dcterms:created xsi:type="dcterms:W3CDTF">2013-12-23T23:15:00Z</dcterms:created>
  <dcterms:modified xsi:type="dcterms:W3CDTF">2026-10-12T17:45:00Z</dcterms:modified>
  <cp:category/>
</cp:coreProperties>
</file>