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EBDC1" w14:textId="77777777" w:rsidR="00FC1E03" w:rsidRPr="00FC1E03" w:rsidRDefault="00FC1E03" w:rsidP="00FC1E03">
      <w:pPr>
        <w:pStyle w:val="Heading1"/>
        <w:jc w:val="center"/>
        <w:rPr>
          <w:rFonts w:ascii="LindeDaxOffice" w:hAnsi="LindeDaxOffice"/>
          <w:b/>
          <w:bCs/>
        </w:rPr>
      </w:pPr>
      <w:r w:rsidRPr="00FC1E03">
        <w:rPr>
          <w:rFonts w:ascii="LindeDaxOffice" w:hAnsi="LindeDaxOffice"/>
          <w:b/>
          <w:bCs/>
        </w:rPr>
        <w:t>SAP Basis Document Review Governance Automation</w:t>
      </w:r>
    </w:p>
    <w:p w14:paraId="25C299D0" w14:textId="77777777" w:rsidR="00FC1E03" w:rsidRPr="00FC1E03" w:rsidRDefault="00FC1E03" w:rsidP="00FC1E03">
      <w:pPr>
        <w:pStyle w:val="Heading2"/>
        <w:rPr>
          <w:rFonts w:ascii="LindeDaxOffice" w:hAnsi="LindeDaxOffice"/>
          <w:b/>
          <w:bCs/>
        </w:rPr>
      </w:pPr>
      <w:r w:rsidRPr="00FC1E03">
        <w:rPr>
          <w:rFonts w:ascii="LindeDaxOffice" w:hAnsi="LindeDaxOffice"/>
          <w:b/>
          <w:bCs/>
        </w:rPr>
        <w:t>Executive Summary</w:t>
      </w:r>
    </w:p>
    <w:p w14:paraId="35938E6A" w14:textId="77777777" w:rsidR="00FC1E03" w:rsidRPr="00FC1E03" w:rsidRDefault="00FC1E03" w:rsidP="00FC1E03">
      <w:pPr>
        <w:rPr>
          <w:rFonts w:ascii="LindeDaxOffice" w:hAnsi="LindeDaxOffice"/>
        </w:rPr>
      </w:pPr>
      <w:r w:rsidRPr="00FC1E03">
        <w:rPr>
          <w:rFonts w:ascii="LindeDaxOffice" w:hAnsi="LindeDaxOffice"/>
        </w:rPr>
        <w:t>To strengthen document governance and ensure compliance with internal review requirements, an automated monitoring and notification process has been introduced for the SAP Basis document repository.</w:t>
      </w:r>
    </w:p>
    <w:p w14:paraId="78CB47C7" w14:textId="77777777" w:rsidR="00FC1E03" w:rsidRPr="00FC1E03" w:rsidRDefault="00FC1E03" w:rsidP="00FC1E03">
      <w:pPr>
        <w:rPr>
          <w:rFonts w:ascii="LindeDaxOffice" w:hAnsi="LindeDaxOffice"/>
        </w:rPr>
      </w:pPr>
      <w:r w:rsidRPr="00FC1E03">
        <w:rPr>
          <w:rFonts w:ascii="LindeDaxOffice" w:hAnsi="LindeDaxOffice"/>
        </w:rPr>
        <w:t>The solution continuously reviews the document inventory and identifies documents that are overdue for review or approaching their review deadlines. Relevant document owners are automatically notified, enabling timely action and reducing the risk of outdated or non-compliant documentation.</w:t>
      </w:r>
    </w:p>
    <w:p w14:paraId="298DA43E" w14:textId="77777777" w:rsidR="00FC1E03" w:rsidRPr="00FC1E03" w:rsidRDefault="00FC1E03" w:rsidP="00FC1E03">
      <w:pPr>
        <w:pStyle w:val="Heading2"/>
        <w:rPr>
          <w:rFonts w:ascii="LindeDaxOffice" w:hAnsi="LindeDaxOffice"/>
        </w:rPr>
      </w:pPr>
      <w:r w:rsidRPr="00FC1E03">
        <w:rPr>
          <w:rFonts w:ascii="LindeDaxOffice" w:hAnsi="LindeDaxOffice"/>
          <w:b/>
          <w:bCs/>
        </w:rPr>
        <w:t>Business</w:t>
      </w:r>
      <w:r w:rsidRPr="00FC1E03">
        <w:rPr>
          <w:rFonts w:ascii="LindeDaxOffice" w:hAnsi="LindeDaxOffice"/>
        </w:rPr>
        <w:t xml:space="preserve"> </w:t>
      </w:r>
      <w:r w:rsidRPr="00FC1E03">
        <w:rPr>
          <w:rFonts w:ascii="LindeDaxOffice" w:hAnsi="LindeDaxOffice"/>
          <w:b/>
          <w:bCs/>
        </w:rPr>
        <w:t>Value</w:t>
      </w:r>
    </w:p>
    <w:p w14:paraId="39E2973F" w14:textId="77777777" w:rsidR="00FC1E03" w:rsidRPr="00FC1E03" w:rsidRDefault="00FC1E03" w:rsidP="00FC1E03">
      <w:pPr>
        <w:pStyle w:val="Heading3"/>
        <w:rPr>
          <w:rFonts w:ascii="LindeDaxOffice" w:hAnsi="LindeDaxOffice"/>
          <w:b/>
          <w:bCs/>
        </w:rPr>
      </w:pPr>
      <w:r w:rsidRPr="00FC1E03">
        <w:rPr>
          <w:rFonts w:ascii="LindeDaxOffice" w:hAnsi="LindeDaxOffice"/>
          <w:b/>
          <w:bCs/>
        </w:rPr>
        <w:t>Improved Compliance</w:t>
      </w:r>
    </w:p>
    <w:p w14:paraId="44D1129E" w14:textId="77777777" w:rsidR="00FC1E03" w:rsidRPr="00FC1E03" w:rsidRDefault="00FC1E03" w:rsidP="00FC1E03">
      <w:pPr>
        <w:rPr>
          <w:rFonts w:ascii="LindeDaxOffice" w:hAnsi="LindeDaxOffice"/>
        </w:rPr>
      </w:pPr>
      <w:r w:rsidRPr="00FC1E03">
        <w:rPr>
          <w:rFonts w:ascii="LindeDaxOffice" w:hAnsi="LindeDaxOffice"/>
        </w:rPr>
        <w:t>Ensures that critical operational and technical documents are reviewed according to defined governance cycles.</w:t>
      </w:r>
    </w:p>
    <w:p w14:paraId="23C42339" w14:textId="77777777" w:rsidR="00FC1E03" w:rsidRPr="00FC1E03" w:rsidRDefault="00FC1E03" w:rsidP="00FC1E03">
      <w:pPr>
        <w:pStyle w:val="Heading3"/>
        <w:rPr>
          <w:rFonts w:ascii="LindeDaxOffice" w:hAnsi="LindeDaxOffice"/>
          <w:b/>
          <w:bCs/>
        </w:rPr>
      </w:pPr>
      <w:r w:rsidRPr="00FC1E03">
        <w:rPr>
          <w:rFonts w:ascii="LindeDaxOffice" w:hAnsi="LindeDaxOffice"/>
          <w:b/>
          <w:bCs/>
        </w:rPr>
        <w:t>Increased Accountability</w:t>
      </w:r>
    </w:p>
    <w:p w14:paraId="368803CB" w14:textId="77777777" w:rsidR="00FC1E03" w:rsidRPr="00FC1E03" w:rsidRDefault="00FC1E03" w:rsidP="00FC1E03">
      <w:pPr>
        <w:rPr>
          <w:rFonts w:ascii="LindeDaxOffice" w:hAnsi="LindeDaxOffice"/>
        </w:rPr>
      </w:pPr>
      <w:r w:rsidRPr="00FC1E03">
        <w:rPr>
          <w:rFonts w:ascii="LindeDaxOffice" w:hAnsi="LindeDaxOffice"/>
        </w:rPr>
        <w:t>Document owners receive proactive reminders, helping maintain ownership and responsibility for document quality and accuracy.</w:t>
      </w:r>
    </w:p>
    <w:p w14:paraId="1B066488" w14:textId="77777777" w:rsidR="00FC1E03" w:rsidRPr="00FC1E03" w:rsidRDefault="00FC1E03" w:rsidP="00FC1E03">
      <w:pPr>
        <w:pStyle w:val="Heading3"/>
        <w:rPr>
          <w:rFonts w:ascii="LindeDaxOffice" w:hAnsi="LindeDaxOffice"/>
          <w:b/>
          <w:bCs/>
        </w:rPr>
      </w:pPr>
      <w:r w:rsidRPr="00FC1E03">
        <w:rPr>
          <w:rFonts w:ascii="LindeDaxOffice" w:hAnsi="LindeDaxOffice"/>
          <w:b/>
          <w:bCs/>
        </w:rPr>
        <w:t>Reduced Manual Effort</w:t>
      </w:r>
    </w:p>
    <w:p w14:paraId="5F4B6A74" w14:textId="77777777" w:rsidR="00FC1E03" w:rsidRPr="00FC1E03" w:rsidRDefault="00FC1E03" w:rsidP="00FC1E03">
      <w:pPr>
        <w:rPr>
          <w:rFonts w:ascii="LindeDaxOffice" w:hAnsi="LindeDaxOffice"/>
        </w:rPr>
      </w:pPr>
      <w:r w:rsidRPr="00FC1E03">
        <w:rPr>
          <w:rFonts w:ascii="LindeDaxOffice" w:hAnsi="LindeDaxOffice"/>
        </w:rPr>
        <w:t>Eliminates the need for periodic manual tracking and follow-up activities, allowing teams to focus on higher-value work.</w:t>
      </w:r>
    </w:p>
    <w:p w14:paraId="6B3FD50E" w14:textId="77777777" w:rsidR="00FC1E03" w:rsidRPr="00FC1E03" w:rsidRDefault="00FC1E03" w:rsidP="00FC1E03">
      <w:pPr>
        <w:pStyle w:val="Heading3"/>
        <w:rPr>
          <w:rFonts w:ascii="LindeDaxOffice" w:hAnsi="LindeDaxOffice"/>
          <w:b/>
          <w:bCs/>
        </w:rPr>
      </w:pPr>
      <w:r w:rsidRPr="00FC1E03">
        <w:rPr>
          <w:rFonts w:ascii="LindeDaxOffice" w:hAnsi="LindeDaxOffice"/>
          <w:b/>
          <w:bCs/>
        </w:rPr>
        <w:t>Better Audit Readiness</w:t>
      </w:r>
    </w:p>
    <w:p w14:paraId="0ADD7007" w14:textId="77777777" w:rsidR="00FC1E03" w:rsidRPr="00FC1E03" w:rsidRDefault="00FC1E03" w:rsidP="00FC1E03">
      <w:pPr>
        <w:rPr>
          <w:rFonts w:ascii="LindeDaxOffice" w:hAnsi="LindeDaxOffice"/>
        </w:rPr>
      </w:pPr>
      <w:r w:rsidRPr="00FC1E03">
        <w:rPr>
          <w:rFonts w:ascii="LindeDaxOffice" w:hAnsi="LindeDaxOffice"/>
        </w:rPr>
        <w:t>Provides a structured approach to document lifecycle management, supporting internal audits and compliance requirements.</w:t>
      </w:r>
    </w:p>
    <w:p w14:paraId="6C1F6C6B" w14:textId="77777777" w:rsidR="00FC1E03" w:rsidRPr="00FC1E03" w:rsidRDefault="00FC1E03" w:rsidP="00FC1E03">
      <w:pPr>
        <w:pStyle w:val="Heading3"/>
        <w:rPr>
          <w:rFonts w:ascii="LindeDaxOffice" w:hAnsi="LindeDaxOffice"/>
          <w:b/>
          <w:bCs/>
        </w:rPr>
      </w:pPr>
      <w:r w:rsidRPr="00FC1E03">
        <w:rPr>
          <w:rFonts w:ascii="LindeDaxOffice" w:hAnsi="LindeDaxOffice"/>
          <w:b/>
          <w:bCs/>
        </w:rPr>
        <w:t>Enhanced Visibility</w:t>
      </w:r>
    </w:p>
    <w:p w14:paraId="0C8F47B3" w14:textId="77777777" w:rsidR="00FC1E03" w:rsidRPr="00FC1E03" w:rsidRDefault="00FC1E03" w:rsidP="00FC1E03">
      <w:pPr>
        <w:rPr>
          <w:rFonts w:ascii="LindeDaxOffice" w:hAnsi="LindeDaxOffice"/>
        </w:rPr>
      </w:pPr>
      <w:r w:rsidRPr="00FC1E03">
        <w:rPr>
          <w:rFonts w:ascii="LindeDaxOffice" w:hAnsi="LindeDaxOffice"/>
        </w:rPr>
        <w:t>Management gains greater confidence that documentation remains current, accessible, and aligned with operational standards.</w:t>
      </w:r>
    </w:p>
    <w:p w14:paraId="6FBE5732" w14:textId="77777777" w:rsidR="00FC1E03" w:rsidRPr="00FC1E03" w:rsidRDefault="00FC1E03" w:rsidP="00FC1E03">
      <w:pPr>
        <w:pStyle w:val="Heading3"/>
        <w:rPr>
          <w:rFonts w:ascii="LindeDaxOffice" w:hAnsi="LindeDaxOffice"/>
          <w:b/>
          <w:bCs/>
        </w:rPr>
      </w:pPr>
      <w:r w:rsidRPr="00FC1E03">
        <w:rPr>
          <w:rFonts w:ascii="LindeDaxOffice" w:hAnsi="LindeDaxOffice"/>
          <w:b/>
          <w:bCs/>
        </w:rPr>
        <w:t>Key Outcomes</w:t>
      </w:r>
    </w:p>
    <w:p w14:paraId="742409B4" w14:textId="77777777" w:rsidR="00FC1E03" w:rsidRPr="00FC1E03" w:rsidRDefault="00FC1E03" w:rsidP="00FC1E03">
      <w:pPr>
        <w:numPr>
          <w:ilvl w:val="0"/>
          <w:numId w:val="1"/>
        </w:numPr>
        <w:rPr>
          <w:rFonts w:ascii="LindeDaxOffice" w:hAnsi="LindeDaxOffice"/>
        </w:rPr>
      </w:pPr>
      <w:r w:rsidRPr="00FC1E03">
        <w:rPr>
          <w:rFonts w:ascii="LindeDaxOffice" w:hAnsi="LindeDaxOffice"/>
        </w:rPr>
        <w:t xml:space="preserve">Automated identification of documents </w:t>
      </w:r>
      <w:proofErr w:type="gramStart"/>
      <w:r w:rsidRPr="00FC1E03">
        <w:rPr>
          <w:rFonts w:ascii="LindeDaxOffice" w:hAnsi="LindeDaxOffice"/>
        </w:rPr>
        <w:t>requiring</w:t>
      </w:r>
      <w:proofErr w:type="gramEnd"/>
      <w:r w:rsidRPr="00FC1E03">
        <w:rPr>
          <w:rFonts w:ascii="LindeDaxOffice" w:hAnsi="LindeDaxOffice"/>
        </w:rPr>
        <w:t xml:space="preserve"> review.</w:t>
      </w:r>
    </w:p>
    <w:p w14:paraId="25953800" w14:textId="77777777" w:rsidR="00FC1E03" w:rsidRPr="00FC1E03" w:rsidRDefault="00FC1E03" w:rsidP="00FC1E03">
      <w:pPr>
        <w:numPr>
          <w:ilvl w:val="0"/>
          <w:numId w:val="1"/>
        </w:numPr>
        <w:rPr>
          <w:rFonts w:ascii="LindeDaxOffice" w:hAnsi="LindeDaxOffice"/>
        </w:rPr>
      </w:pPr>
      <w:r w:rsidRPr="00FC1E03">
        <w:rPr>
          <w:rFonts w:ascii="LindeDaxOffice" w:hAnsi="LindeDaxOffice"/>
        </w:rPr>
        <w:t xml:space="preserve">Timely notifications </w:t>
      </w:r>
      <w:proofErr w:type="gramStart"/>
      <w:r w:rsidRPr="00FC1E03">
        <w:rPr>
          <w:rFonts w:ascii="LindeDaxOffice" w:hAnsi="LindeDaxOffice"/>
        </w:rPr>
        <w:t>sent</w:t>
      </w:r>
      <w:proofErr w:type="gramEnd"/>
      <w:r w:rsidRPr="00FC1E03">
        <w:rPr>
          <w:rFonts w:ascii="LindeDaxOffice" w:hAnsi="LindeDaxOffice"/>
        </w:rPr>
        <w:t xml:space="preserve"> to responsible document owners.</w:t>
      </w:r>
    </w:p>
    <w:p w14:paraId="68922A58" w14:textId="77777777" w:rsidR="00FC1E03" w:rsidRPr="00FC1E03" w:rsidRDefault="00FC1E03" w:rsidP="00FC1E03">
      <w:pPr>
        <w:numPr>
          <w:ilvl w:val="0"/>
          <w:numId w:val="1"/>
        </w:numPr>
        <w:rPr>
          <w:rFonts w:ascii="LindeDaxOffice" w:hAnsi="LindeDaxOffice"/>
        </w:rPr>
      </w:pPr>
      <w:r w:rsidRPr="00FC1E03">
        <w:rPr>
          <w:rFonts w:ascii="LindeDaxOffice" w:hAnsi="LindeDaxOffice"/>
        </w:rPr>
        <w:lastRenderedPageBreak/>
        <w:t>Early visibility of overdue and upcoming review activities.</w:t>
      </w:r>
    </w:p>
    <w:p w14:paraId="4A6F63B6" w14:textId="77777777" w:rsidR="00FC1E03" w:rsidRPr="00FC1E03" w:rsidRDefault="00FC1E03" w:rsidP="00FC1E03">
      <w:pPr>
        <w:numPr>
          <w:ilvl w:val="0"/>
          <w:numId w:val="1"/>
        </w:numPr>
        <w:rPr>
          <w:rFonts w:ascii="LindeDaxOffice" w:hAnsi="LindeDaxOffice"/>
        </w:rPr>
      </w:pPr>
      <w:r w:rsidRPr="00FC1E03">
        <w:rPr>
          <w:rFonts w:ascii="LindeDaxOffice" w:hAnsi="LindeDaxOffice"/>
        </w:rPr>
        <w:t>Consistent application of document governance standards.</w:t>
      </w:r>
    </w:p>
    <w:p w14:paraId="2E510C9E" w14:textId="77777777" w:rsidR="00FC1E03" w:rsidRPr="00FC1E03" w:rsidRDefault="00FC1E03" w:rsidP="00FC1E03">
      <w:pPr>
        <w:numPr>
          <w:ilvl w:val="0"/>
          <w:numId w:val="1"/>
        </w:numPr>
        <w:rPr>
          <w:rFonts w:ascii="LindeDaxOffice" w:hAnsi="LindeDaxOffice"/>
        </w:rPr>
      </w:pPr>
      <w:r w:rsidRPr="00FC1E03">
        <w:rPr>
          <w:rFonts w:ascii="LindeDaxOffice" w:hAnsi="LindeDaxOffice"/>
        </w:rPr>
        <w:t xml:space="preserve">Reduced risk </w:t>
      </w:r>
      <w:proofErr w:type="gramStart"/>
      <w:r w:rsidRPr="00FC1E03">
        <w:rPr>
          <w:rFonts w:ascii="LindeDaxOffice" w:hAnsi="LindeDaxOffice"/>
        </w:rPr>
        <w:t>associated</w:t>
      </w:r>
      <w:proofErr w:type="gramEnd"/>
      <w:r w:rsidRPr="00FC1E03">
        <w:rPr>
          <w:rFonts w:ascii="LindeDaxOffice" w:hAnsi="LindeDaxOffice"/>
        </w:rPr>
        <w:t xml:space="preserve"> with outdated documentation.</w:t>
      </w:r>
    </w:p>
    <w:p w14:paraId="765DD885" w14:textId="77777777" w:rsidR="00FC1E03" w:rsidRPr="00FC1E03" w:rsidRDefault="00FC1E03" w:rsidP="00FC1E03">
      <w:pPr>
        <w:pStyle w:val="Heading3"/>
        <w:rPr>
          <w:rFonts w:ascii="LindeDaxOffice" w:hAnsi="LindeDaxOffice"/>
          <w:b/>
          <w:bCs/>
        </w:rPr>
      </w:pPr>
      <w:r w:rsidRPr="00FC1E03">
        <w:rPr>
          <w:rFonts w:ascii="LindeDaxOffice" w:hAnsi="LindeDaxOffice"/>
          <w:b/>
          <w:bCs/>
        </w:rPr>
        <w:t>Expected Benefits</w:t>
      </w:r>
    </w:p>
    <w:tbl>
      <w:tblPr>
        <w:tblStyle w:val="PlainTable5"/>
        <w:tblW w:w="0" w:type="auto"/>
        <w:tblLook w:val="04A0" w:firstRow="1" w:lastRow="0" w:firstColumn="1" w:lastColumn="0" w:noHBand="0" w:noVBand="1"/>
      </w:tblPr>
      <w:tblGrid>
        <w:gridCol w:w="2130"/>
        <w:gridCol w:w="5528"/>
      </w:tblGrid>
      <w:tr w:rsidR="00FC1E03" w:rsidRPr="00FC1E03" w14:paraId="4F3366AB" w14:textId="77777777" w:rsidTr="00FC1E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485F54" w14:textId="77777777" w:rsidR="00FC1E03" w:rsidRPr="00FC1E03" w:rsidRDefault="00FC1E03" w:rsidP="00FC1E03">
            <w:pPr>
              <w:spacing w:after="160" w:line="278" w:lineRule="auto"/>
              <w:jc w:val="left"/>
              <w:rPr>
                <w:rFonts w:ascii="LindeDaxOffice" w:hAnsi="LindeDaxOffice"/>
                <w:b/>
                <w:bCs/>
              </w:rPr>
            </w:pPr>
            <w:r w:rsidRPr="00FC1E03">
              <w:rPr>
                <w:rFonts w:ascii="LindeDaxOffice" w:hAnsi="LindeDaxOffice"/>
                <w:b/>
                <w:bCs/>
              </w:rPr>
              <w:t>Area</w:t>
            </w:r>
          </w:p>
        </w:tc>
        <w:tc>
          <w:tcPr>
            <w:tcW w:w="0" w:type="auto"/>
            <w:hideMark/>
          </w:tcPr>
          <w:p w14:paraId="387DDA7B" w14:textId="77777777" w:rsidR="00FC1E03" w:rsidRPr="00FC1E03" w:rsidRDefault="00FC1E03" w:rsidP="00FC1E03">
            <w:pPr>
              <w:spacing w:after="160" w:line="278" w:lineRule="auto"/>
              <w:cnfStyle w:val="100000000000" w:firstRow="1" w:lastRow="0" w:firstColumn="0" w:lastColumn="0" w:oddVBand="0" w:evenVBand="0" w:oddHBand="0" w:evenHBand="0" w:firstRowFirstColumn="0" w:firstRowLastColumn="0" w:lastRowFirstColumn="0" w:lastRowLastColumn="0"/>
              <w:rPr>
                <w:rFonts w:ascii="LindeDaxOffice" w:hAnsi="LindeDaxOffice"/>
                <w:b/>
                <w:bCs/>
              </w:rPr>
            </w:pPr>
            <w:r w:rsidRPr="00FC1E03">
              <w:rPr>
                <w:rFonts w:ascii="LindeDaxOffice" w:hAnsi="LindeDaxOffice"/>
                <w:b/>
                <w:bCs/>
              </w:rPr>
              <w:t>Benefit</w:t>
            </w:r>
          </w:p>
        </w:tc>
      </w:tr>
      <w:tr w:rsidR="00FC1E03" w:rsidRPr="00FC1E03" w14:paraId="745A4A7C" w14:textId="77777777" w:rsidTr="00FC1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67AA1" w14:textId="77777777" w:rsidR="00FC1E03" w:rsidRPr="00FC1E03" w:rsidRDefault="00FC1E03" w:rsidP="00FC1E03">
            <w:pPr>
              <w:spacing w:after="160" w:line="278" w:lineRule="auto"/>
              <w:rPr>
                <w:rFonts w:ascii="LindeDaxOffice" w:hAnsi="LindeDaxOffice"/>
              </w:rPr>
            </w:pPr>
            <w:r w:rsidRPr="00FC1E03">
              <w:rPr>
                <w:rFonts w:ascii="LindeDaxOffice" w:hAnsi="LindeDaxOffice"/>
              </w:rPr>
              <w:t>Compliance</w:t>
            </w:r>
          </w:p>
        </w:tc>
        <w:tc>
          <w:tcPr>
            <w:tcW w:w="0" w:type="auto"/>
            <w:hideMark/>
          </w:tcPr>
          <w:p w14:paraId="67CB110F" w14:textId="77777777" w:rsidR="00FC1E03" w:rsidRPr="00FC1E03" w:rsidRDefault="00FC1E03" w:rsidP="00FC1E03">
            <w:pPr>
              <w:spacing w:after="160" w:line="278" w:lineRule="auto"/>
              <w:cnfStyle w:val="000000100000" w:firstRow="0" w:lastRow="0" w:firstColumn="0" w:lastColumn="0" w:oddVBand="0" w:evenVBand="0" w:oddHBand="1" w:evenHBand="0" w:firstRowFirstColumn="0" w:firstRowLastColumn="0" w:lastRowFirstColumn="0" w:lastRowLastColumn="0"/>
              <w:rPr>
                <w:rFonts w:ascii="LindeDaxOffice" w:hAnsi="LindeDaxOffice"/>
              </w:rPr>
            </w:pPr>
            <w:r w:rsidRPr="00FC1E03">
              <w:rPr>
                <w:rFonts w:ascii="LindeDaxOffice" w:hAnsi="LindeDaxOffice"/>
              </w:rPr>
              <w:t>Improved adherence to review schedules</w:t>
            </w:r>
          </w:p>
        </w:tc>
      </w:tr>
      <w:tr w:rsidR="00FC1E03" w:rsidRPr="00FC1E03" w14:paraId="00FDD2B5" w14:textId="77777777" w:rsidTr="00FC1E03">
        <w:tc>
          <w:tcPr>
            <w:cnfStyle w:val="001000000000" w:firstRow="0" w:lastRow="0" w:firstColumn="1" w:lastColumn="0" w:oddVBand="0" w:evenVBand="0" w:oddHBand="0" w:evenHBand="0" w:firstRowFirstColumn="0" w:firstRowLastColumn="0" w:lastRowFirstColumn="0" w:lastRowLastColumn="0"/>
            <w:tcW w:w="0" w:type="auto"/>
            <w:hideMark/>
          </w:tcPr>
          <w:p w14:paraId="46E86651" w14:textId="77777777" w:rsidR="00FC1E03" w:rsidRPr="00FC1E03" w:rsidRDefault="00FC1E03" w:rsidP="00FC1E03">
            <w:pPr>
              <w:spacing w:after="160" w:line="278" w:lineRule="auto"/>
              <w:rPr>
                <w:rFonts w:ascii="LindeDaxOffice" w:hAnsi="LindeDaxOffice"/>
              </w:rPr>
            </w:pPr>
            <w:r w:rsidRPr="00FC1E03">
              <w:rPr>
                <w:rFonts w:ascii="LindeDaxOffice" w:hAnsi="LindeDaxOffice"/>
              </w:rPr>
              <w:t>Productivity</w:t>
            </w:r>
          </w:p>
        </w:tc>
        <w:tc>
          <w:tcPr>
            <w:tcW w:w="0" w:type="auto"/>
            <w:hideMark/>
          </w:tcPr>
          <w:p w14:paraId="5CAA0139" w14:textId="77777777" w:rsidR="00FC1E03" w:rsidRPr="00FC1E03" w:rsidRDefault="00FC1E03" w:rsidP="00FC1E03">
            <w:pPr>
              <w:spacing w:after="160" w:line="278" w:lineRule="auto"/>
              <w:cnfStyle w:val="000000000000" w:firstRow="0" w:lastRow="0" w:firstColumn="0" w:lastColumn="0" w:oddVBand="0" w:evenVBand="0" w:oddHBand="0" w:evenHBand="0" w:firstRowFirstColumn="0" w:firstRowLastColumn="0" w:lastRowFirstColumn="0" w:lastRowLastColumn="0"/>
              <w:rPr>
                <w:rFonts w:ascii="LindeDaxOffice" w:hAnsi="LindeDaxOffice"/>
              </w:rPr>
            </w:pPr>
            <w:r w:rsidRPr="00FC1E03">
              <w:rPr>
                <w:rFonts w:ascii="LindeDaxOffice" w:hAnsi="LindeDaxOffice"/>
              </w:rPr>
              <w:t>Less manual monitoring and follow-up effort</w:t>
            </w:r>
          </w:p>
        </w:tc>
      </w:tr>
      <w:tr w:rsidR="00FC1E03" w:rsidRPr="00FC1E03" w14:paraId="23FF2D46" w14:textId="77777777" w:rsidTr="00FC1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92BEB" w14:textId="77777777" w:rsidR="00FC1E03" w:rsidRPr="00FC1E03" w:rsidRDefault="00FC1E03" w:rsidP="00FC1E03">
            <w:pPr>
              <w:spacing w:after="160" w:line="278" w:lineRule="auto"/>
              <w:rPr>
                <w:rFonts w:ascii="LindeDaxOffice" w:hAnsi="LindeDaxOffice"/>
              </w:rPr>
            </w:pPr>
            <w:r w:rsidRPr="00FC1E03">
              <w:rPr>
                <w:rFonts w:ascii="LindeDaxOffice" w:hAnsi="LindeDaxOffice"/>
              </w:rPr>
              <w:t>Governance</w:t>
            </w:r>
          </w:p>
        </w:tc>
        <w:tc>
          <w:tcPr>
            <w:tcW w:w="0" w:type="auto"/>
            <w:hideMark/>
          </w:tcPr>
          <w:p w14:paraId="3D6698C2" w14:textId="77777777" w:rsidR="00FC1E03" w:rsidRPr="00FC1E03" w:rsidRDefault="00FC1E03" w:rsidP="00FC1E03">
            <w:pPr>
              <w:spacing w:after="160" w:line="278" w:lineRule="auto"/>
              <w:cnfStyle w:val="000000100000" w:firstRow="0" w:lastRow="0" w:firstColumn="0" w:lastColumn="0" w:oddVBand="0" w:evenVBand="0" w:oddHBand="1" w:evenHBand="0" w:firstRowFirstColumn="0" w:firstRowLastColumn="0" w:lastRowFirstColumn="0" w:lastRowLastColumn="0"/>
              <w:rPr>
                <w:rFonts w:ascii="LindeDaxOffice" w:hAnsi="LindeDaxOffice"/>
              </w:rPr>
            </w:pPr>
            <w:r w:rsidRPr="00FC1E03">
              <w:rPr>
                <w:rFonts w:ascii="LindeDaxOffice" w:hAnsi="LindeDaxOffice"/>
              </w:rPr>
              <w:t>Stronger ownership and accountability</w:t>
            </w:r>
          </w:p>
        </w:tc>
      </w:tr>
      <w:tr w:rsidR="00FC1E03" w:rsidRPr="00FC1E03" w14:paraId="1A8DDE5C" w14:textId="77777777" w:rsidTr="00FC1E03">
        <w:tc>
          <w:tcPr>
            <w:cnfStyle w:val="001000000000" w:firstRow="0" w:lastRow="0" w:firstColumn="1" w:lastColumn="0" w:oddVBand="0" w:evenVBand="0" w:oddHBand="0" w:evenHBand="0" w:firstRowFirstColumn="0" w:firstRowLastColumn="0" w:lastRowFirstColumn="0" w:lastRowLastColumn="0"/>
            <w:tcW w:w="0" w:type="auto"/>
            <w:hideMark/>
          </w:tcPr>
          <w:p w14:paraId="0F7889AF" w14:textId="77777777" w:rsidR="00FC1E03" w:rsidRPr="00FC1E03" w:rsidRDefault="00FC1E03" w:rsidP="00FC1E03">
            <w:pPr>
              <w:spacing w:after="160" w:line="278" w:lineRule="auto"/>
              <w:rPr>
                <w:rFonts w:ascii="LindeDaxOffice" w:hAnsi="LindeDaxOffice"/>
              </w:rPr>
            </w:pPr>
            <w:r w:rsidRPr="00FC1E03">
              <w:rPr>
                <w:rFonts w:ascii="LindeDaxOffice" w:hAnsi="LindeDaxOffice"/>
              </w:rPr>
              <w:t>Risk Management</w:t>
            </w:r>
          </w:p>
        </w:tc>
        <w:tc>
          <w:tcPr>
            <w:tcW w:w="0" w:type="auto"/>
            <w:hideMark/>
          </w:tcPr>
          <w:p w14:paraId="1E46BB58" w14:textId="77777777" w:rsidR="00FC1E03" w:rsidRPr="00FC1E03" w:rsidRDefault="00FC1E03" w:rsidP="00FC1E03">
            <w:pPr>
              <w:spacing w:after="160" w:line="278" w:lineRule="auto"/>
              <w:cnfStyle w:val="000000000000" w:firstRow="0" w:lastRow="0" w:firstColumn="0" w:lastColumn="0" w:oddVBand="0" w:evenVBand="0" w:oddHBand="0" w:evenHBand="0" w:firstRowFirstColumn="0" w:firstRowLastColumn="0" w:lastRowFirstColumn="0" w:lastRowLastColumn="0"/>
              <w:rPr>
                <w:rFonts w:ascii="LindeDaxOffice" w:hAnsi="LindeDaxOffice"/>
              </w:rPr>
            </w:pPr>
            <w:r w:rsidRPr="00FC1E03">
              <w:rPr>
                <w:rFonts w:ascii="LindeDaxOffice" w:hAnsi="LindeDaxOffice"/>
              </w:rPr>
              <w:t>Reduced likelihood of outdated procedures being used</w:t>
            </w:r>
          </w:p>
        </w:tc>
      </w:tr>
      <w:tr w:rsidR="00FC1E03" w:rsidRPr="00FC1E03" w14:paraId="7FB73810" w14:textId="77777777" w:rsidTr="00FC1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83C86" w14:textId="77777777" w:rsidR="00FC1E03" w:rsidRPr="00FC1E03" w:rsidRDefault="00FC1E03" w:rsidP="00FC1E03">
            <w:pPr>
              <w:spacing w:after="160" w:line="278" w:lineRule="auto"/>
              <w:rPr>
                <w:rFonts w:ascii="LindeDaxOffice" w:hAnsi="LindeDaxOffice"/>
              </w:rPr>
            </w:pPr>
            <w:r w:rsidRPr="00FC1E03">
              <w:rPr>
                <w:rFonts w:ascii="LindeDaxOffice" w:hAnsi="LindeDaxOffice"/>
              </w:rPr>
              <w:t>Audit Support</w:t>
            </w:r>
          </w:p>
        </w:tc>
        <w:tc>
          <w:tcPr>
            <w:tcW w:w="0" w:type="auto"/>
            <w:hideMark/>
          </w:tcPr>
          <w:p w14:paraId="1E56B700" w14:textId="77777777" w:rsidR="00FC1E03" w:rsidRPr="00FC1E03" w:rsidRDefault="00FC1E03" w:rsidP="00FC1E03">
            <w:pPr>
              <w:spacing w:after="160" w:line="278" w:lineRule="auto"/>
              <w:cnfStyle w:val="000000100000" w:firstRow="0" w:lastRow="0" w:firstColumn="0" w:lastColumn="0" w:oddVBand="0" w:evenVBand="0" w:oddHBand="1" w:evenHBand="0" w:firstRowFirstColumn="0" w:firstRowLastColumn="0" w:lastRowFirstColumn="0" w:lastRowLastColumn="0"/>
              <w:rPr>
                <w:rFonts w:ascii="LindeDaxOffice" w:hAnsi="LindeDaxOffice"/>
              </w:rPr>
            </w:pPr>
            <w:r w:rsidRPr="00FC1E03">
              <w:rPr>
                <w:rFonts w:ascii="LindeDaxOffice" w:hAnsi="LindeDaxOffice"/>
              </w:rPr>
              <w:t>Improved readiness for internal and external reviews</w:t>
            </w:r>
          </w:p>
        </w:tc>
      </w:tr>
    </w:tbl>
    <w:p w14:paraId="32EEBF71" w14:textId="77777777" w:rsidR="00FC1E03" w:rsidRPr="00FC1E03" w:rsidRDefault="00FC1E03" w:rsidP="00FC1E03">
      <w:pPr>
        <w:pStyle w:val="Heading2"/>
        <w:rPr>
          <w:rFonts w:ascii="LindeDaxOffice" w:hAnsi="LindeDaxOffice"/>
          <w:b/>
          <w:bCs/>
        </w:rPr>
      </w:pPr>
      <w:r w:rsidRPr="00FC1E03">
        <w:rPr>
          <w:rFonts w:ascii="LindeDaxOffice" w:hAnsi="LindeDaxOffice"/>
          <w:b/>
          <w:bCs/>
        </w:rPr>
        <w:t>Conclusion</w:t>
      </w:r>
    </w:p>
    <w:p w14:paraId="0C330ED2" w14:textId="77777777" w:rsidR="00FC1E03" w:rsidRPr="00FC1E03" w:rsidRDefault="00FC1E03" w:rsidP="00FC1E03">
      <w:pPr>
        <w:rPr>
          <w:rFonts w:ascii="LindeDaxOffice" w:hAnsi="LindeDaxOffice"/>
        </w:rPr>
      </w:pPr>
      <w:r w:rsidRPr="00FC1E03">
        <w:rPr>
          <w:rFonts w:ascii="LindeDaxOffice" w:hAnsi="LindeDaxOffice"/>
        </w:rPr>
        <w:t>The Document Review Governance Automation initiative supports the organization's commitment to operational excellence, compliance, and continuous improvement. By automating routine governance activities, the team can maintain a high-quality document repository while reducing administrative overhead and improving overall control effectiveness.</w:t>
      </w:r>
    </w:p>
    <w:p w14:paraId="1D3D656A" w14:textId="77777777" w:rsidR="00691FA2" w:rsidRPr="00FC1E03" w:rsidRDefault="00691FA2">
      <w:pPr>
        <w:rPr>
          <w:rFonts w:ascii="LindeDaxOffice" w:hAnsi="LindeDaxOffice"/>
        </w:rPr>
      </w:pPr>
    </w:p>
    <w:sectPr w:rsidR="00691FA2" w:rsidRPr="00FC1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ndeDaxOffice">
    <w:panose1 w:val="020B0500000000020000"/>
    <w:charset w:val="00"/>
    <w:family w:val="swiss"/>
    <w:pitch w:val="variable"/>
    <w:sig w:usb0="800000AF" w:usb1="5000206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94253"/>
    <w:multiLevelType w:val="multilevel"/>
    <w:tmpl w:val="656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41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C4"/>
    <w:rsid w:val="00185C19"/>
    <w:rsid w:val="006759C4"/>
    <w:rsid w:val="00691FA2"/>
    <w:rsid w:val="00CB4797"/>
    <w:rsid w:val="00ED32AC"/>
    <w:rsid w:val="00FC1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648E16-A951-4369-92C3-8009F0B0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9C4"/>
    <w:rPr>
      <w:rFonts w:eastAsiaTheme="majorEastAsia" w:cstheme="majorBidi"/>
      <w:color w:val="272727" w:themeColor="text1" w:themeTint="D8"/>
    </w:rPr>
  </w:style>
  <w:style w:type="paragraph" w:styleId="Title">
    <w:name w:val="Title"/>
    <w:basedOn w:val="Normal"/>
    <w:next w:val="Normal"/>
    <w:link w:val="TitleChar"/>
    <w:uiPriority w:val="10"/>
    <w:qFormat/>
    <w:rsid w:val="00675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9C4"/>
    <w:pPr>
      <w:spacing w:before="160"/>
      <w:jc w:val="center"/>
    </w:pPr>
    <w:rPr>
      <w:i/>
      <w:iCs/>
      <w:color w:val="404040" w:themeColor="text1" w:themeTint="BF"/>
    </w:rPr>
  </w:style>
  <w:style w:type="character" w:customStyle="1" w:styleId="QuoteChar">
    <w:name w:val="Quote Char"/>
    <w:basedOn w:val="DefaultParagraphFont"/>
    <w:link w:val="Quote"/>
    <w:uiPriority w:val="29"/>
    <w:rsid w:val="006759C4"/>
    <w:rPr>
      <w:i/>
      <w:iCs/>
      <w:color w:val="404040" w:themeColor="text1" w:themeTint="BF"/>
    </w:rPr>
  </w:style>
  <w:style w:type="paragraph" w:styleId="ListParagraph">
    <w:name w:val="List Paragraph"/>
    <w:basedOn w:val="Normal"/>
    <w:uiPriority w:val="34"/>
    <w:qFormat/>
    <w:rsid w:val="006759C4"/>
    <w:pPr>
      <w:ind w:left="720"/>
      <w:contextualSpacing/>
    </w:pPr>
  </w:style>
  <w:style w:type="character" w:styleId="IntenseEmphasis">
    <w:name w:val="Intense Emphasis"/>
    <w:basedOn w:val="DefaultParagraphFont"/>
    <w:uiPriority w:val="21"/>
    <w:qFormat/>
    <w:rsid w:val="006759C4"/>
    <w:rPr>
      <w:i/>
      <w:iCs/>
      <w:color w:val="0F4761" w:themeColor="accent1" w:themeShade="BF"/>
    </w:rPr>
  </w:style>
  <w:style w:type="paragraph" w:styleId="IntenseQuote">
    <w:name w:val="Intense Quote"/>
    <w:basedOn w:val="Normal"/>
    <w:next w:val="Normal"/>
    <w:link w:val="IntenseQuoteChar"/>
    <w:uiPriority w:val="30"/>
    <w:qFormat/>
    <w:rsid w:val="00675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9C4"/>
    <w:rPr>
      <w:i/>
      <w:iCs/>
      <w:color w:val="0F4761" w:themeColor="accent1" w:themeShade="BF"/>
    </w:rPr>
  </w:style>
  <w:style w:type="character" w:styleId="IntenseReference">
    <w:name w:val="Intense Reference"/>
    <w:basedOn w:val="DefaultParagraphFont"/>
    <w:uiPriority w:val="32"/>
    <w:qFormat/>
    <w:rsid w:val="006759C4"/>
    <w:rPr>
      <w:b/>
      <w:bCs/>
      <w:smallCaps/>
      <w:color w:val="0F4761" w:themeColor="accent1" w:themeShade="BF"/>
      <w:spacing w:val="5"/>
    </w:rPr>
  </w:style>
  <w:style w:type="table" w:styleId="PlainTable5">
    <w:name w:val="Plain Table 5"/>
    <w:basedOn w:val="TableNormal"/>
    <w:uiPriority w:val="45"/>
    <w:rsid w:val="00FC1E0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087541">
      <w:bodyDiv w:val="1"/>
      <w:marLeft w:val="0"/>
      <w:marRight w:val="0"/>
      <w:marTop w:val="0"/>
      <w:marBottom w:val="0"/>
      <w:divBdr>
        <w:top w:val="none" w:sz="0" w:space="0" w:color="auto"/>
        <w:left w:val="none" w:sz="0" w:space="0" w:color="auto"/>
        <w:bottom w:val="none" w:sz="0" w:space="0" w:color="auto"/>
        <w:right w:val="none" w:sz="0" w:space="0" w:color="auto"/>
      </w:divBdr>
    </w:div>
    <w:div w:id="117056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Sheetam Coondoo (External)</dc:creator>
  <cp:keywords/>
  <dc:description/>
  <cp:lastModifiedBy>Sheetam Coondoo (External)</cp:lastModifiedBy>
  <cp:revision>2</cp:revision>
  <dcterms:created xsi:type="dcterms:W3CDTF">2026-06-24T10:04:00Z</dcterms:created>
  <dcterms:modified xsi:type="dcterms:W3CDTF">2026-06-24T10:06:00Z</dcterms:modified>
</cp:coreProperties>
</file>