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1F3864"/>
          <w:sz w:val="40"/>
          <w:szCs w:val="40"/>
        </w:rPr>
        <w:t xml:space="preserve">PENETRATION TESTING REPORT</w:t>
      </w:r>
    </w:p>
    <w:p>
      <w:pPr>
        <w:spacing w:after="100"/>
        <w:jc w:val="center"/>
      </w:pPr>
      <w:r>
        <w:rPr>
          <w:b/>
          <w:bCs/>
          <w:color w:val="C00000"/>
          <w:sz w:val="28"/>
          <w:szCs w:val="28"/>
        </w:rPr>
        <w:t xml:space="preserve">FOOTPRINTING &amp; NETWORK SCANNING PHASES</w:t>
      </w:r>
    </w:p>
    <w:p>
      <w:pPr>
        <w:spacing w:after="400"/>
        <w:jc w:val="center"/>
      </w:pPr>
      <w:r>
        <w:rPr>
          <w:b/>
          <w:bCs/>
          <w:color w:val="595959"/>
          <w:sz w:val="22"/>
          <w:szCs w:val="22"/>
        </w:rPr>
        <w:t xml:space="preserve">W2-PM-FINAL | CYBERSECURITY | NETWORKWALKS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CE6F1" w:val="clear"/>
            <w:tcMar>
              <w:top w:type="dxa" w:w="100"/>
              <w:left w:type="dxa" w:w="120"/>
              <w:bottom w:type="dxa" w:w="100"/>
              <w:right w:type="dxa" w:w="120"/>
            </w:tcMar>
            <w:vAlign w:val="center"/>
          </w:tcPr>
          <w:p>
            <w:r>
              <w:rPr>
                <w:b/>
                <w:bCs/>
                <w:sz w:val="20"/>
                <w:szCs w:val="20"/>
              </w:rPr>
              <w:t xml:space="preserve">Pentester Name</w:t>
            </w:r>
          </w:p>
        </w:tc>
        <w:tc>
          <w:tcPr>
            <w:tcW w:type="dxa" w:w="6200"/>
            <w:tcMar>
              <w:top w:type="dxa" w:w="100"/>
              <w:left w:type="dxa" w:w="120"/>
              <w:bottom w:type="dxa" w:w="100"/>
              <w:right w:type="dxa" w:w="120"/>
            </w:tcMar>
            <w:vAlign w:val="center"/>
          </w:tcPr>
          <w:p>
            <w:r>
              <w:rPr>
                <w:sz w:val="20"/>
                <w:szCs w:val="20"/>
              </w:rPr>
              <w:t xml:space="preserve">[Your Name]
(Cybersecurity Professional)</w:t>
            </w:r>
          </w:p>
        </w:tc>
      </w:tr>
      <w:tr>
        <w:tc>
          <w:tcPr>
            <w:tcW w:type="dxa" w:w="2800"/>
            <w:shd w:fill="DCE6F1" w:val="clear"/>
            <w:tcMar>
              <w:top w:type="dxa" w:w="100"/>
              <w:left w:type="dxa" w:w="120"/>
              <w:bottom w:type="dxa" w:w="100"/>
              <w:right w:type="dxa" w:w="120"/>
            </w:tcMar>
            <w:vAlign w:val="center"/>
          </w:tcPr>
          <w:p>
            <w:r>
              <w:rPr>
                <w:b/>
                <w:bCs/>
                <w:sz w:val="20"/>
                <w:szCs w:val="20"/>
              </w:rPr>
              <w:t xml:space="preserve">Program/Batch</w:t>
            </w:r>
          </w:p>
        </w:tc>
        <w:tc>
          <w:tcPr>
            <w:tcW w:type="dxa" w:w="6200"/>
            <w:tcMar>
              <w:top w:type="dxa" w:w="100"/>
              <w:left w:type="dxa" w:w="120"/>
              <w:bottom w:type="dxa" w:w="100"/>
              <w:right w:type="dxa" w:w="120"/>
            </w:tcMar>
            <w:vAlign w:val="center"/>
          </w:tcPr>
          <w:p>
            <w:r>
              <w:rPr>
                <w:sz w:val="20"/>
                <w:szCs w:val="20"/>
              </w:rPr>
              <w:t xml:space="preserve">Networkwalks</w:t>
            </w:r>
          </w:p>
        </w:tc>
      </w:tr>
      <w:tr>
        <w:tc>
          <w:tcPr>
            <w:tcW w:type="dxa" w:w="2800"/>
            <w:shd w:fill="DCE6F1" w:val="clear"/>
            <w:tcMar>
              <w:top w:type="dxa" w:w="100"/>
              <w:left w:type="dxa" w:w="120"/>
              <w:bottom w:type="dxa" w:w="100"/>
              <w:right w:type="dxa" w:w="120"/>
            </w:tcMar>
            <w:vAlign w:val="center"/>
          </w:tcPr>
          <w:p>
            <w:r>
              <w:rPr>
                <w:b/>
                <w:bCs/>
                <w:sz w:val="20"/>
                <w:szCs w:val="20"/>
              </w:rPr>
              <w:t xml:space="preserve">Date</w:t>
            </w:r>
          </w:p>
        </w:tc>
        <w:tc>
          <w:tcPr>
            <w:tcW w:type="dxa" w:w="6200"/>
            <w:tcMar>
              <w:top w:type="dxa" w:w="100"/>
              <w:left w:type="dxa" w:w="120"/>
              <w:bottom w:type="dxa" w:w="100"/>
              <w:right w:type="dxa" w:w="120"/>
            </w:tcMar>
            <w:vAlign w:val="center"/>
          </w:tcPr>
          <w:p>
            <w:r>
              <w:rPr>
                <w:sz w:val="20"/>
                <w:szCs w:val="20"/>
              </w:rPr>
              <w:t xml:space="preserve">23 September 2026</w:t>
            </w:r>
          </w:p>
        </w:tc>
      </w:tr>
      <w:tr>
        <w:tc>
          <w:tcPr>
            <w:tcW w:type="dxa" w:w="2800"/>
            <w:shd w:fill="DCE6F1" w:val="clear"/>
            <w:tcMar>
              <w:top w:type="dxa" w:w="100"/>
              <w:left w:type="dxa" w:w="120"/>
              <w:bottom w:type="dxa" w:w="100"/>
              <w:right w:type="dxa" w:w="120"/>
            </w:tcMar>
            <w:vAlign w:val="center"/>
          </w:tcPr>
          <w:p>
            <w:r>
              <w:rPr>
                <w:b/>
                <w:bCs/>
                <w:sz w:val="20"/>
                <w:szCs w:val="20"/>
              </w:rPr>
              <w:t xml:space="preserve">Modules Completed</w:t>
            </w:r>
          </w:p>
        </w:tc>
        <w:tc>
          <w:tcPr>
            <w:tcW w:type="dxa" w:w="6200"/>
            <w:tcMar>
              <w:top w:type="dxa" w:w="100"/>
              <w:left w:type="dxa" w:w="120"/>
              <w:bottom w:type="dxa" w:w="100"/>
              <w:right w:type="dxa" w:w="120"/>
            </w:tcMar>
            <w:vAlign w:val="center"/>
          </w:tcPr>
          <w:p>
            <w:r>
              <w:rPr>
                <w:sz w:val="20"/>
                <w:szCs w:val="20"/>
              </w:rPr>
              <w:t xml:space="preserve">W2-PM1 (Multiple Kali Tools)</w:t>
            </w:r>
          </w:p>
          <w:p>
            <w:r>
              <w:rPr>
                <w:sz w:val="20"/>
                <w:szCs w:val="20"/>
              </w:rPr>
              <w:t xml:space="preserve">W2-PM (Nmap Scanning)</w:t>
            </w:r>
          </w:p>
        </w:tc>
      </w:tr>
      <w:tr>
        <w:tc>
          <w:tcPr>
            <w:tcW w:type="dxa" w:w="2800"/>
            <w:shd w:fill="DCE6F1" w:val="clear"/>
            <w:tcMar>
              <w:top w:type="dxa" w:w="100"/>
              <w:left w:type="dxa" w:w="120"/>
              <w:bottom w:type="dxa" w:w="100"/>
              <w:right w:type="dxa" w:w="120"/>
            </w:tcMar>
            <w:vAlign w:val="center"/>
          </w:tcPr>
          <w:p>
            <w:r>
              <w:rPr>
                <w:b/>
                <w:bCs/>
                <w:sz w:val="20"/>
                <w:szCs w:val="20"/>
              </w:rPr>
              <w:t xml:space="preserve">Client/Target</w:t>
            </w:r>
          </w:p>
        </w:tc>
        <w:tc>
          <w:tcPr>
            <w:tcW w:type="dxa" w:w="6200"/>
            <w:tcMar>
              <w:top w:type="dxa" w:w="100"/>
              <w:left w:type="dxa" w:w="120"/>
              <w:bottom w:type="dxa" w:w="100"/>
              <w:right w:type="dxa" w:w="120"/>
            </w:tcMar>
            <w:vAlign w:val="center"/>
          </w:tcPr>
          <w:p>
            <w:r>
              <w:rPr>
                <w:sz w:val="20"/>
                <w:szCs w:val="20"/>
              </w:rPr>
              <w:t xml:space="preserve">1. Networkwalks (secured written permission already)</w:t>
            </w:r>
          </w:p>
          <w:p>
            <w:r>
              <w:rPr>
                <w:sz w:val="20"/>
                <w:szCs w:val="20"/>
              </w:rPr>
              <w:t xml:space="preserve">2. My own local network</w:t>
            </w:r>
          </w:p>
        </w:tc>
      </w:tr>
      <w:tr>
        <w:tc>
          <w:tcPr>
            <w:tcW w:type="dxa" w:w="2800"/>
            <w:shd w:fill="DCE6F1" w:val="clear"/>
            <w:tcMar>
              <w:top w:type="dxa" w:w="100"/>
              <w:left w:type="dxa" w:w="120"/>
              <w:bottom w:type="dxa" w:w="100"/>
              <w:right w:type="dxa" w:w="120"/>
            </w:tcMar>
            <w:vAlign w:val="center"/>
          </w:tcPr>
          <w:p>
            <w:r>
              <w:rPr>
                <w:b/>
                <w:bCs/>
                <w:sz w:val="20"/>
                <w:szCs w:val="20"/>
              </w:rPr>
              <w:t xml:space="preserve">Permission Secured from Client?</w:t>
            </w:r>
          </w:p>
        </w:tc>
        <w:tc>
          <w:tcPr>
            <w:tcW w:type="dxa" w:w="6200"/>
            <w:tcMar>
              <w:top w:type="dxa" w:w="100"/>
              <w:left w:type="dxa" w:w="120"/>
              <w:bottom w:type="dxa" w:w="100"/>
              <w:right w:type="dxa" w:w="120"/>
            </w:tcMar>
            <w:vAlign w:val="center"/>
          </w:tcPr>
          <w:p>
            <w:r>
              <w:rPr>
                <w:sz w:val="20"/>
                <w:szCs w:val="20"/>
              </w:rPr>
              <w:t xml:space="preserve">Yes</w:t>
            </w:r>
          </w:p>
        </w:tc>
      </w:tr>
      <w:tr>
        <w:tc>
          <w:tcPr>
            <w:tcW w:type="dxa" w:w="2800"/>
            <w:shd w:fill="DCE6F1" w:val="clear"/>
            <w:tcMar>
              <w:top w:type="dxa" w:w="100"/>
              <w:left w:type="dxa" w:w="120"/>
              <w:bottom w:type="dxa" w:w="100"/>
              <w:right w:type="dxa" w:w="120"/>
            </w:tcMar>
            <w:vAlign w:val="center"/>
          </w:tcPr>
          <w:p>
            <w:r>
              <w:rPr>
                <w:b/>
                <w:bCs/>
                <w:sz w:val="20"/>
                <w:szCs w:val="20"/>
              </w:rPr>
              <w:t xml:space="preserve">Phases Covered</w:t>
            </w:r>
          </w:p>
        </w:tc>
        <w:tc>
          <w:tcPr>
            <w:tcW w:type="dxa" w:w="6200"/>
            <w:tcMar>
              <w:top w:type="dxa" w:w="100"/>
              <w:left w:type="dxa" w:w="120"/>
              <w:bottom w:type="dxa" w:w="100"/>
              <w:right w:type="dxa" w:w="120"/>
            </w:tcMar>
            <w:vAlign w:val="center"/>
          </w:tcPr>
          <w:p>
            <w:r>
              <w:rPr>
                <w:sz w:val="20"/>
                <w:szCs w:val="20"/>
              </w:rPr>
              <w:t xml:space="preserve">Phase 1: Reconnaissance &amp; Footprinting</w:t>
            </w:r>
          </w:p>
          <w:p>
            <w:r>
              <w:rPr>
                <w:sz w:val="20"/>
                <w:szCs w:val="20"/>
              </w:rPr>
              <w:t xml:space="preserve">Phase 2: Scanning &amp; Network Discovery</w:t>
            </w:r>
          </w:p>
          <w:p>
            <w:r>
              <w:rPr>
                <w:sz w:val="20"/>
                <w:szCs w:val="20"/>
              </w:rPr>
              <w:t xml:space="preserve">Phase 3-5: In Progress</w:t>
            </w:r>
          </w:p>
        </w:tc>
      </w:tr>
    </w:tbl>
    <w:p>
      <w:r>
        <w:br w:type="page"/>
      </w:r>
    </w:p>
    <w:p>
      <w:pPr>
        <w:pStyle w:val="Heading1"/>
        <w:spacing w:after="150" w:before="300"/>
      </w:pPr>
      <w:r>
        <w:rPr>
          <w:b/>
          <w:bCs/>
          <w:color w:val="C00000"/>
          <w:sz w:val="26"/>
          <w:szCs w:val="26"/>
        </w:rPr>
        <w:t xml:space="preserve">1. Liability Disclaimer</w:t>
      </w:r>
    </w:p>
    <w:p>
      <w:pPr>
        <w:spacing w:after="150"/>
      </w:pPr>
      <w:r>
        <w:rPr>
          <w:sz w:val="22"/>
          <w:szCs w:val="22"/>
        </w:rPr>
        <w:t xml:space="preserve">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Misuse can lead to criminal charges, heavy fines, loss of your job and a permanent record. In most countries unauthorised access is a crime even when nothing is damaged.</w:t>
      </w:r>
    </w:p>
    <w:p>
      <w:pPr>
        <w:pStyle w:val="Heading1"/>
        <w:spacing w:after="150" w:before="300"/>
      </w:pPr>
      <w:r>
        <w:rPr>
          <w:b/>
          <w:bCs/>
          <w:color w:val="C00000"/>
          <w:sz w:val="26"/>
          <w:szCs w:val="26"/>
        </w:rPr>
        <w:t xml:space="preserve">2. Introduction</w:t>
      </w:r>
    </w:p>
    <w:p>
      <w:pPr>
        <w:spacing w:after="150"/>
      </w:pPr>
      <w:r>
        <w:rPr>
          <w:sz w:val="22"/>
          <w:szCs w:val="22"/>
        </w:rPr>
        <w:t xml:space="preserve">This report covers footprinting the networkwalks.com domain using multiple Kali Linux tools and scanning a host on my own local network using Nmap. Together they show how an attacker moves from gathering public information to confirming a live host on a network. It is part of my ongoing internship program at Networkwalks.</w:t>
      </w:r>
    </w:p>
    <w:p>
      <w:pPr>
        <w:spacing w:after="150"/>
      </w:pPr>
      <w:r>
        <w:rPr>
          <w:sz w:val="22"/>
          <w:szCs w:val="22"/>
        </w:rPr>
        <w:t xml:space="preserve">All commands were run in Kali Linux. Every step below includes the exact command used, the result I observed, a screenshot as evidence, and a short note on why the finding matters from an attacker's point of view.</w:t>
      </w:r>
    </w:p>
    <w:p>
      <w:pPr>
        <w:pStyle w:val="Heading1"/>
        <w:spacing w:after="150" w:before="300"/>
      </w:pPr>
      <w:r>
        <w:rPr>
          <w:b/>
          <w:bCs/>
          <w:color w:val="C00000"/>
          <w:sz w:val="26"/>
          <w:szCs w:val="26"/>
        </w:rPr>
        <w:t xml:space="preserve">3. Tools Used</w:t>
      </w:r>
    </w:p>
    <w:p>
      <w:pPr>
        <w:spacing w:after="150"/>
      </w:pPr>
      <w:r>
        <w:rPr>
          <w:sz w:val="22"/>
          <w:szCs w:val="22"/>
        </w:rPr>
        <w:t xml:space="preserve">The table below lists each tool used in this report and its purpose.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shd w:fill="1F3864" w:val="clear"/>
            <w:tcMar>
              <w:top w:type="dxa" w:w="80"/>
              <w:left w:type="dxa" w:w="100"/>
              <w:bottom w:type="dxa" w:w="80"/>
              <w:right w:type="dxa" w:w="100"/>
            </w:tcMar>
            <w:vAlign w:val="center"/>
          </w:tcPr>
          <w:p>
            <w:r>
              <w:rPr>
                <w:b/>
                <w:bCs/>
                <w:color w:val="FFFFFF"/>
                <w:sz w:val="20"/>
                <w:szCs w:val="20"/>
              </w:rPr>
              <w:t xml:space="preserve">Tool</w:t>
            </w:r>
          </w:p>
        </w:tc>
        <w:tc>
          <w:tcPr>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2600"/>
            <w:tcMar>
              <w:top w:type="dxa" w:w="80"/>
              <w:left w:type="dxa" w:w="100"/>
              <w:bottom w:type="dxa" w:w="80"/>
              <w:right w:type="dxa" w:w="100"/>
            </w:tcMar>
          </w:tcPr>
          <w:p>
            <w:r>
              <w:rPr>
                <w:sz w:val="20"/>
                <w:szCs w:val="20"/>
              </w:rPr>
              <w:t xml:space="preserve">Kali Linux</w:t>
            </w:r>
          </w:p>
        </w:tc>
        <w:tc>
          <w:tcPr>
            <w:tcW w:type="dxa" w:w="6400"/>
            <w:tcMar>
              <w:top w:type="dxa" w:w="80"/>
              <w:left w:type="dxa" w:w="100"/>
              <w:bottom w:type="dxa" w:w="80"/>
              <w:right w:type="dxa" w:w="100"/>
            </w:tcMar>
          </w:tcPr>
          <w:p>
            <w:r>
              <w:rPr>
                <w:sz w:val="20"/>
                <w:szCs w:val="20"/>
              </w:rPr>
              <w:t xml:space="preserve">Operating system used for reconnaissance activities</w:t>
            </w:r>
          </w:p>
        </w:tc>
      </w:tr>
      <w:tr>
        <w:tc>
          <w:tcPr>
            <w:tcW w:type="dxa" w:w="2600"/>
            <w:tcMar>
              <w:top w:type="dxa" w:w="80"/>
              <w:left w:type="dxa" w:w="100"/>
              <w:bottom w:type="dxa" w:w="80"/>
              <w:right w:type="dxa" w:w="100"/>
            </w:tcMar>
          </w:tcPr>
          <w:p>
            <w:r>
              <w:rPr>
                <w:sz w:val="20"/>
                <w:szCs w:val="20"/>
              </w:rPr>
              <w:t xml:space="preserve">WHOIS</w:t>
            </w:r>
          </w:p>
        </w:tc>
        <w:tc>
          <w:tcPr>
            <w:tcW w:type="dxa" w:w="6400"/>
            <w:tcMar>
              <w:top w:type="dxa" w:w="80"/>
              <w:left w:type="dxa" w:w="100"/>
              <w:bottom w:type="dxa" w:w="80"/>
              <w:right w:type="dxa" w:w="100"/>
            </w:tcMar>
          </w:tcPr>
          <w:p>
            <w:r>
              <w:rPr>
                <w:sz w:val="20"/>
                <w:szCs w:val="20"/>
              </w:rPr>
              <w:t xml:space="preserve">Find domain registration details (owner, dates, name servers)</w:t>
            </w:r>
          </w:p>
        </w:tc>
      </w:tr>
      <w:tr>
        <w:tc>
          <w:tcPr>
            <w:tcW w:type="dxa" w:w="2600"/>
            <w:tcMar>
              <w:top w:type="dxa" w:w="80"/>
              <w:left w:type="dxa" w:w="100"/>
              <w:bottom w:type="dxa" w:w="80"/>
              <w:right w:type="dxa" w:w="100"/>
            </w:tcMar>
          </w:tcPr>
          <w:p>
            <w:r>
              <w:rPr>
                <w:sz w:val="20"/>
                <w:szCs w:val="20"/>
              </w:rPr>
              <w:t xml:space="preserve">whatweb</w:t>
            </w:r>
          </w:p>
        </w:tc>
        <w:tc>
          <w:tcPr>
            <w:tcW w:type="dxa" w:w="6400"/>
            <w:tcMar>
              <w:top w:type="dxa" w:w="80"/>
              <w:left w:type="dxa" w:w="100"/>
              <w:bottom w:type="dxa" w:w="80"/>
              <w:right w:type="dxa" w:w="100"/>
            </w:tcMar>
          </w:tcPr>
          <w:p>
            <w:r>
              <w:rPr>
                <w:sz w:val="20"/>
                <w:szCs w:val="20"/>
              </w:rPr>
              <w:t xml:space="preserve">Fingerprint web technologies (server, CMS, plugins, IP)</w:t>
            </w:r>
          </w:p>
        </w:tc>
      </w:tr>
      <w:tr>
        <w:tc>
          <w:tcPr>
            <w:tcW w:type="dxa" w:w="2600"/>
            <w:tcMar>
              <w:top w:type="dxa" w:w="80"/>
              <w:left w:type="dxa" w:w="100"/>
              <w:bottom w:type="dxa" w:w="80"/>
              <w:right w:type="dxa" w:w="100"/>
            </w:tcMar>
          </w:tcPr>
          <w:p>
            <w:r>
              <w:rPr>
                <w:sz w:val="20"/>
                <w:szCs w:val="20"/>
              </w:rPr>
              <w:t xml:space="preserve">nslookup</w:t>
            </w:r>
          </w:p>
        </w:tc>
        <w:tc>
          <w:tcPr>
            <w:tcW w:type="dxa" w:w="6400"/>
            <w:tcMar>
              <w:top w:type="dxa" w:w="80"/>
              <w:left w:type="dxa" w:w="100"/>
              <w:bottom w:type="dxa" w:w="80"/>
              <w:right w:type="dxa" w:w="100"/>
            </w:tcMar>
          </w:tcPr>
          <w:p>
            <w:r>
              <w:rPr>
                <w:sz w:val="20"/>
                <w:szCs w:val="20"/>
              </w:rPr>
              <w:t xml:space="preserve">Resolve the domain name to its IP address using DNS</w:t>
            </w:r>
          </w:p>
        </w:tc>
      </w:tr>
      <w:tr>
        <w:tc>
          <w:tcPr>
            <w:tcW w:type="dxa" w:w="2600"/>
            <w:tcMar>
              <w:top w:type="dxa" w:w="80"/>
              <w:left w:type="dxa" w:w="100"/>
              <w:bottom w:type="dxa" w:w="80"/>
              <w:right w:type="dxa" w:w="100"/>
            </w:tcMar>
          </w:tcPr>
          <w:p>
            <w:r>
              <w:rPr>
                <w:sz w:val="20"/>
                <w:szCs w:val="20"/>
              </w:rPr>
              <w:t xml:space="preserve">curl -I</w:t>
            </w:r>
          </w:p>
        </w:tc>
        <w:tc>
          <w:tcPr>
            <w:tcW w:type="dxa" w:w="6400"/>
            <w:tcMar>
              <w:top w:type="dxa" w:w="80"/>
              <w:left w:type="dxa" w:w="100"/>
              <w:bottom w:type="dxa" w:w="80"/>
              <w:right w:type="dxa" w:w="100"/>
            </w:tcMar>
          </w:tcPr>
          <w:p>
            <w:r>
              <w:rPr>
                <w:sz w:val="20"/>
                <w:szCs w:val="20"/>
              </w:rPr>
              <w:t xml:space="preserve">Read the HTTP response headers of the website</w:t>
            </w:r>
          </w:p>
        </w:tc>
      </w:tr>
      <w:tr>
        <w:tc>
          <w:tcPr>
            <w:tcW w:type="dxa" w:w="2600"/>
            <w:tcMar>
              <w:top w:type="dxa" w:w="80"/>
              <w:left w:type="dxa" w:w="100"/>
              <w:bottom w:type="dxa" w:w="80"/>
              <w:right w:type="dxa" w:w="100"/>
            </w:tcMar>
          </w:tcPr>
          <w:p>
            <w:r>
              <w:rPr>
                <w:sz w:val="20"/>
                <w:szCs w:val="20"/>
              </w:rPr>
              <w:t xml:space="preserve">wafw00f</w:t>
            </w:r>
          </w:p>
        </w:tc>
        <w:tc>
          <w:tcPr>
            <w:tcW w:type="dxa" w:w="6400"/>
            <w:tcMar>
              <w:top w:type="dxa" w:w="80"/>
              <w:left w:type="dxa" w:w="100"/>
              <w:bottom w:type="dxa" w:w="80"/>
              <w:right w:type="dxa" w:w="100"/>
            </w:tcMar>
          </w:tcPr>
          <w:p>
            <w:r>
              <w:rPr>
                <w:sz w:val="20"/>
                <w:szCs w:val="20"/>
              </w:rPr>
              <w:t xml:space="preserve">Detect whether a Web Application Firewall protects the site</w:t>
            </w:r>
          </w:p>
        </w:tc>
      </w:tr>
      <w:tr>
        <w:tc>
          <w:tcPr>
            <w:tcW w:type="dxa" w:w="2600"/>
            <w:tcMar>
              <w:top w:type="dxa" w:w="80"/>
              <w:left w:type="dxa" w:w="100"/>
              <w:bottom w:type="dxa" w:w="80"/>
              <w:right w:type="dxa" w:w="100"/>
            </w:tcMar>
          </w:tcPr>
          <w:p>
            <w:r>
              <w:rPr>
                <w:sz w:val="20"/>
                <w:szCs w:val="20"/>
              </w:rPr>
              <w:t xml:space="preserve">Nmap (CLI) / Zenmap</w:t>
            </w:r>
          </w:p>
        </w:tc>
        <w:tc>
          <w:tcPr>
            <w:tcW w:type="dxa" w:w="6400"/>
            <w:tcMar>
              <w:top w:type="dxa" w:w="80"/>
              <w:left w:type="dxa" w:w="100"/>
              <w:bottom w:type="dxa" w:w="80"/>
              <w:right w:type="dxa" w:w="100"/>
            </w:tcMar>
          </w:tcPr>
          <w:p>
            <w:r>
              <w:rPr>
                <w:sz w:val="20"/>
                <w:szCs w:val="20"/>
              </w:rPr>
              <w:t xml:space="preserve">Scan a host on the local network to confirm it is live</w:t>
            </w:r>
          </w:p>
        </w:tc>
      </w:tr>
    </w:tbl>
    <w:p>
      <w:pPr>
        <w:pStyle w:val="Heading1"/>
        <w:spacing w:after="150" w:before="300"/>
      </w:pPr>
      <w:r>
        <w:rPr>
          <w:b/>
          <w:bCs/>
          <w:color w:val="C00000"/>
          <w:sz w:val="26"/>
          <w:szCs w:val="26"/>
        </w:rPr>
        <w:t xml:space="preserve">4. Activities Performed</w:t>
      </w:r>
    </w:p>
    <w:p>
      <w:pPr>
        <w:pStyle w:val="Heading2"/>
        <w:spacing w:after="100" w:before="200"/>
      </w:pPr>
      <w:r>
        <w:rPr>
          <w:b/>
          <w:bCs/>
          <w:color w:val="1F3864"/>
          <w:sz w:val="24"/>
          <w:szCs w:val="24"/>
        </w:rPr>
        <w:t xml:space="preserve">4.1 Footprinting &amp; Reconnaissance</w:t>
      </w:r>
    </w:p>
    <w:p>
      <w:pPr>
        <w:spacing w:after="150"/>
      </w:pPr>
      <w:r>
        <w:rPr>
          <w:sz w:val="22"/>
          <w:szCs w:val="22"/>
        </w:rPr>
        <w:t xml:space="preserve">I performed reconnaissance against the networkwalks.com domain using five Kali Linux tools: WHOIS, WhatWeb, Nslookup, Curl and Wafw00f. Each tool was used to collect a different type of information about the target.</w:t>
      </w:r>
    </w:p>
    <w:p>
      <w:pPr>
        <w:spacing w:after="150"/>
      </w:pPr>
      <w:r>
        <w:rPr>
          <w:sz w:val="22"/>
          <w:szCs w:val="22"/>
        </w:rPr>
        <w:t xml:space="preserve">First, I used WHOIS to obtain publicly available domain registration information and identify the domain's name servers. The domain is registered with GoDaddy.com, LLC, was created on 06 November 2019 and is set to expire on 06 November 2027. The name servers returned were NS6135.HOSTGATOR.COM and NS6136.HOSTGATOR.COM (with NS29/NS30.DOMAINCONTROL.COM also listed by the registrar record), and the registrant's contact details are privacy-protected via Domains By Proxy, LLC.</w:t>
      </w:r>
    </w:p>
    <w:p>
      <w:pPr>
        <w:spacing w:after="150"/>
      </w:pPr>
      <w:r>
        <w:rPr>
          <w:sz w:val="22"/>
          <w:szCs w:val="22"/>
        </w:rPr>
        <w:t xml:space="preserve">I then used WhatWeb to identify technologies used by the website. The results identified WordPress 7.1.2 together with WordPress Download Manager 3.3.58, a Bootstrap 7.1.2 front end, jQuery 3.7.1, the server IP address 192.232.216.135, and a public contact address (info@networkwalks.com).</w:t>
      </w:r>
    </w:p>
    <w:p>
      <w:pPr>
        <w:spacing w:after="150"/>
      </w:pPr>
      <w:r>
        <w:rPr>
          <w:sz w:val="22"/>
          <w:szCs w:val="22"/>
        </w:rPr>
        <w:t xml:space="preserve">Using Nslookup, I resolved the domain name to its IP address. The result identified 192.232.216.135, matching the IP exposed by WhatWeb.</w:t>
      </w:r>
    </w:p>
    <w:p>
      <w:pPr>
        <w:spacing w:after="150"/>
      </w:pPr>
      <w:r>
        <w:rPr>
          <w:sz w:val="22"/>
          <w:szCs w:val="22"/>
        </w:rPr>
        <w:t xml:space="preserve">I used Curl with the -I option to inspect the HTTP response headers. The site returned HTTP/2 200, exposed the WordPress REST API endpoint (/wp-json/) via a Link header, set a client-side cookie (__wpdm_client), and disclosed permissions-policy directives referencing third-party services (Google, reCAPTCHA, hCaptcha, Cloudflare).</w:t>
      </w:r>
    </w:p>
    <w:p>
      <w:pPr>
        <w:spacing w:after="150"/>
      </w:pPr>
      <w:r>
        <w:rPr>
          <w:sz w:val="22"/>
          <w:szCs w:val="22"/>
        </w:rPr>
        <w:t xml:space="preserve">Finally, I used Wafw00f to determine whether a Web Application Firewall was protecting the website. The result identified ModSecurity (SpiderLabs), detected using 2 requests.</w:t>
      </w:r>
    </w:p>
    <w:p>
      <w:pPr>
        <w:pStyle w:val="Heading2"/>
        <w:spacing w:after="100" w:before="200"/>
      </w:pPr>
      <w:r>
        <w:rPr>
          <w:b/>
          <w:bCs/>
          <w:color w:val="1F3864"/>
          <w:sz w:val="24"/>
          <w:szCs w:val="24"/>
        </w:rPr>
        <w:t xml:space="preserve">4.2 Network Scanning with Nmap</w:t>
      </w:r>
    </w:p>
    <w:p>
      <w:pPr>
        <w:spacing w:after="150"/>
      </w:pPr>
      <w:r>
        <w:rPr>
          <w:sz w:val="22"/>
          <w:szCs w:val="22"/>
        </w:rPr>
        <w:t xml:space="preserve">For the second activity, I used Nmap to check whether a host on my local network was live. The scan targeted 192.168.52.1.</w:t>
      </w:r>
    </w:p>
    <w:p>
      <w:pPr>
        <w:spacing w:after="150"/>
      </w:pPr>
      <w:r>
        <w:rPr>
          <w:b/>
          <w:bCs/>
          <w:sz w:val="22"/>
          <w:szCs w:val="22"/>
        </w:rPr>
        <w:t xml:space="preserve">Command: </w:t>
      </w:r>
      <w:r>
        <w:rPr>
          <w:rFonts w:ascii="Consolas" w:cs="Consolas" w:eastAsia="Consolas" w:hAnsi="Consolas"/>
          <w:sz w:val="22"/>
          <w:szCs w:val="22"/>
        </w:rPr>
        <w:t xml:space="preserve">nmap 192.168.52.1</w:t>
      </w:r>
    </w:p>
    <w:p>
      <w:pPr>
        <w:spacing w:after="150"/>
      </w:pPr>
      <w:r>
        <w:rPr>
          <w:sz w:val="22"/>
          <w:szCs w:val="22"/>
        </w:rPr>
        <w:t xml:space="preserve">Nmap 7.991 reported the scan started at 2026-09-23 20:02 (+0500) and confirmed that host 192.168.52.1 is up. The scan completed in 0.83 seconds, covering 1 IP address (1 host up). The accompanying Nmap/Zenmap Host Details view confirms the host state as "up" with 0 open, filtered, closed and scanned ports, meaning this was a host-discovery (ping) check rather than a full port scan — no port, service or MAC address information was returned for this host.</w:t>
      </w:r>
    </w:p>
    <w:p>
      <w:r>
        <w:br w:type="page"/>
      </w:r>
    </w:p>
    <w:p>
      <w:pPr>
        <w:pStyle w:val="Heading1"/>
        <w:spacing w:after="150" w:before="300"/>
      </w:pPr>
      <w:r>
        <w:rPr>
          <w:b/>
          <w:bCs/>
          <w:color w:val="C00000"/>
          <w:sz w:val="26"/>
          <w:szCs w:val="26"/>
        </w:rPr>
        <w:t xml:space="preserve">5. Evidences Collected</w:t>
      </w:r>
    </w:p>
    <w:p>
      <w:pPr>
        <w:pStyle w:val="Heading2"/>
        <w:spacing w:after="100" w:before="200"/>
      </w:pPr>
      <w:r>
        <w:rPr>
          <w:b/>
          <w:bCs/>
          <w:color w:val="1F3864"/>
          <w:sz w:val="24"/>
          <w:szCs w:val="24"/>
        </w:rPr>
        <w:t xml:space="preserve">5.1 WHOIS — networkwalks.com</w:t>
      </w:r>
    </w:p>
    <w:p>
      <w:pPr>
        <w:spacing w:after="40" w:before="120"/>
        <w:jc w:val="center"/>
      </w:pPr>
      <w:r>
        <w:drawing>
          <wp:inline distT="0" distB="0" distL="0" distR="0">
            <wp:extent cx="4953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962400"/>
                    </a:xfrm>
                    <a:prstGeom prst="rect">
                      <a:avLst/>
                    </a:prstGeom>
                  </pic:spPr>
                </pic:pic>
              </a:graphicData>
            </a:graphic>
          </wp:inline>
        </w:drawing>
      </w:r>
    </w:p>
    <w:p>
      <w:pPr>
        <w:spacing w:after="240" w:before="60"/>
        <w:jc w:val="center"/>
      </w:pPr>
      <w:r>
        <w:rPr>
          <w:i/>
          <w:iCs/>
          <w:color w:val="595959"/>
          <w:sz w:val="20"/>
          <w:szCs w:val="20"/>
        </w:rPr>
        <w:t xml:space="preserve">Figure 1: WHOIS lookup showing registrar, creation/expiry dates and name servers.</w:t>
      </w:r>
    </w:p>
    <w:p>
      <w:pPr>
        <w:pStyle w:val="Heading2"/>
        <w:spacing w:after="100" w:before="200"/>
      </w:pPr>
      <w:r>
        <w:rPr>
          <w:b/>
          <w:bCs/>
          <w:color w:val="1F3864"/>
          <w:sz w:val="24"/>
          <w:szCs w:val="24"/>
        </w:rPr>
        <w:t xml:space="preserve">5.2 WhatWeb — networkwalks.com</w:t>
      </w:r>
    </w:p>
    <w:p>
      <w:pPr>
        <w:spacing w:after="40" w:before="120"/>
        <w:jc w:val="center"/>
      </w:pPr>
      <w:r>
        <w:drawing>
          <wp:inline distT="0" distB="0" distL="0" distR="0">
            <wp:extent cx="4953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752600"/>
                    </a:xfrm>
                    <a:prstGeom prst="rect">
                      <a:avLst/>
                    </a:prstGeom>
                  </pic:spPr>
                </pic:pic>
              </a:graphicData>
            </a:graphic>
          </wp:inline>
        </w:drawing>
      </w:r>
    </w:p>
    <w:p>
      <w:pPr>
        <w:spacing w:after="240" w:before="60"/>
        <w:jc w:val="center"/>
      </w:pPr>
      <w:r>
        <w:rPr>
          <w:i/>
          <w:iCs/>
          <w:color w:val="595959"/>
          <w:sz w:val="20"/>
          <w:szCs w:val="20"/>
        </w:rPr>
        <w:t xml:space="preserve">Figure 2: WhatWeb fingerprinting result identifying WordPress, plugins and server IP.</w:t>
      </w:r>
    </w:p>
    <w:p>
      <w:pPr>
        <w:pStyle w:val="Heading2"/>
        <w:spacing w:after="100" w:before="200"/>
      </w:pPr>
      <w:r>
        <w:rPr>
          <w:b/>
          <w:bCs/>
          <w:color w:val="1F3864"/>
          <w:sz w:val="24"/>
          <w:szCs w:val="24"/>
        </w:rPr>
        <w:t xml:space="preserve">5.3 Nslookup — networkwalks.com</w:t>
      </w:r>
    </w:p>
    <w:p>
      <w:pPr>
        <w:spacing w:after="40" w:before="120"/>
        <w:jc w:val="center"/>
      </w:pPr>
      <w:r>
        <w:drawing>
          <wp:inline distT="0" distB="0" distL="0" distR="0">
            <wp:extent cx="4572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219200"/>
                    </a:xfrm>
                    <a:prstGeom prst="rect">
                      <a:avLst/>
                    </a:prstGeom>
                  </pic:spPr>
                </pic:pic>
              </a:graphicData>
            </a:graphic>
          </wp:inline>
        </w:drawing>
      </w:r>
    </w:p>
    <w:p>
      <w:pPr>
        <w:spacing w:after="240" w:before="60"/>
        <w:jc w:val="center"/>
      </w:pPr>
      <w:r>
        <w:rPr>
          <w:i/>
          <w:iCs/>
          <w:color w:val="595959"/>
          <w:sz w:val="20"/>
          <w:szCs w:val="20"/>
        </w:rPr>
        <w:t xml:space="preserve">Figure 3: Nslookup resolving the domain to its IP address.</w:t>
      </w:r>
    </w:p>
    <w:p>
      <w:pPr>
        <w:pStyle w:val="Heading2"/>
        <w:spacing w:after="100" w:before="200"/>
      </w:pPr>
      <w:r>
        <w:rPr>
          <w:b/>
          <w:bCs/>
          <w:color w:val="1F3864"/>
          <w:sz w:val="24"/>
          <w:szCs w:val="24"/>
        </w:rPr>
        <w:t xml:space="preserve">5.4 Curl -I — networkwalks.com</w:t>
      </w:r>
    </w:p>
    <w:p>
      <w:pPr>
        <w:spacing w:after="40" w:before="120"/>
        <w:jc w:val="center"/>
      </w:pPr>
      <w:r>
        <w:drawing>
          <wp:inline distT="0" distB="0" distL="0" distR="0">
            <wp:extent cx="4953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952625"/>
                    </a:xfrm>
                    <a:prstGeom prst="rect">
                      <a:avLst/>
                    </a:prstGeom>
                  </pic:spPr>
                </pic:pic>
              </a:graphicData>
            </a:graphic>
          </wp:inline>
        </w:drawing>
      </w:r>
    </w:p>
    <w:p>
      <w:pPr>
        <w:spacing w:after="240" w:before="60"/>
        <w:jc w:val="center"/>
      </w:pPr>
      <w:r>
        <w:rPr>
          <w:i/>
          <w:iCs/>
          <w:color w:val="595959"/>
          <w:sz w:val="20"/>
          <w:szCs w:val="20"/>
        </w:rPr>
        <w:t xml:space="preserve">Figure 4: HTTP response headers returned by curl -I.</w:t>
      </w:r>
    </w:p>
    <w:p>
      <w:pPr>
        <w:pStyle w:val="Heading2"/>
        <w:spacing w:after="100" w:before="200"/>
      </w:pPr>
      <w:r>
        <w:rPr>
          <w:b/>
          <w:bCs/>
          <w:color w:val="1F3864"/>
          <w:sz w:val="24"/>
          <w:szCs w:val="24"/>
        </w:rPr>
        <w:t xml:space="preserve">5.5 Wafw00f — networkwalks.com</w:t>
      </w:r>
    </w:p>
    <w:p>
      <w:pPr>
        <w:spacing w:after="40" w:before="120"/>
        <w:jc w:val="center"/>
      </w:pPr>
      <w:r>
        <w:drawing>
          <wp:inline distT="0" distB="0" distL="0" distR="0">
            <wp:extent cx="4572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86175"/>
                    </a:xfrm>
                    <a:prstGeom prst="rect">
                      <a:avLst/>
                    </a:prstGeom>
                  </pic:spPr>
                </pic:pic>
              </a:graphicData>
            </a:graphic>
          </wp:inline>
        </w:drawing>
      </w:r>
    </w:p>
    <w:p>
      <w:pPr>
        <w:spacing w:after="240" w:before="60"/>
        <w:jc w:val="center"/>
      </w:pPr>
      <w:r>
        <w:rPr>
          <w:i/>
          <w:iCs/>
          <w:color w:val="595959"/>
          <w:sz w:val="20"/>
          <w:szCs w:val="20"/>
        </w:rPr>
        <w:t xml:space="preserve">Figure 5: Wafw00f identifying ModSecurity (SpiderLabs) as the WAF in front of the site.</w:t>
      </w:r>
    </w:p>
    <w:p>
      <w:pPr>
        <w:pStyle w:val="Heading2"/>
        <w:spacing w:after="100" w:before="200"/>
      </w:pPr>
      <w:r>
        <w:rPr>
          <w:b/>
          <w:bCs/>
          <w:color w:val="1F3864"/>
          <w:sz w:val="24"/>
          <w:szCs w:val="24"/>
        </w:rPr>
        <w:t xml:space="preserve">5.6 Nmap / Host Details — 192.168.52.1</w:t>
      </w:r>
    </w:p>
    <w:p>
      <w:pPr>
        <w:spacing w:after="40" w:before="120"/>
        <w:jc w:val="center"/>
      </w:pPr>
      <w:r>
        <w:drawing>
          <wp:inline distT="0" distB="0" distL="0" distR="0">
            <wp:extent cx="4572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676650"/>
                    </a:xfrm>
                    <a:prstGeom prst="rect">
                      <a:avLst/>
                    </a:prstGeom>
                  </pic:spPr>
                </pic:pic>
              </a:graphicData>
            </a:graphic>
          </wp:inline>
        </w:drawing>
      </w:r>
    </w:p>
    <w:p>
      <w:pPr>
        <w:spacing w:after="240" w:before="60"/>
        <w:jc w:val="center"/>
      </w:pPr>
      <w:r>
        <w:rPr>
          <w:i/>
          <w:iCs/>
          <w:color w:val="595959"/>
          <w:sz w:val="20"/>
          <w:szCs w:val="20"/>
        </w:rPr>
        <w:t xml:space="preserve">Figure 6: Host Details view confirming 192.168.52.1 is up, with no ports scanned.</w:t>
      </w:r>
    </w:p>
    <w:p>
      <w:r>
        <w:br w:type="page"/>
      </w:r>
    </w:p>
    <w:p>
      <w:pPr>
        <w:pStyle w:val="Heading1"/>
        <w:spacing w:after="150" w:before="300"/>
      </w:pPr>
      <w:r>
        <w:rPr>
          <w:b/>
          <w:bCs/>
          <w:color w:val="C00000"/>
          <w:sz w:val="26"/>
          <w:szCs w:val="26"/>
        </w:rPr>
        <w:t xml:space="preserve">6. Risk Analysis / Impact</w:t>
      </w:r>
    </w:p>
    <w:p>
      <w:pPr>
        <w:spacing w:after="150"/>
      </w:pPr>
      <w:r>
        <w:rPr>
          <w:sz w:val="22"/>
          <w:szCs w:val="22"/>
        </w:rPr>
        <w:t xml:space="preserve">Based on the information collected during the footprinting and scanning activities, I identified the following potential risks.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200"/>
        <w:gridCol w:w="3200"/>
        <w:gridCol w:w="1200"/>
      </w:tblGrid>
      <w:tr>
        <w:tc>
          <w:tcPr>
            <w:tcW w:type="dxa" w:w="500"/>
            <w:shd w:fill="1F3864" w:val="clear"/>
            <w:tcMar>
              <w:top w:type="dxa" w:w="80"/>
              <w:left w:type="dxa" w:w="90"/>
              <w:bottom w:type="dxa" w:w="80"/>
              <w:right w:type="dxa" w:w="90"/>
            </w:tcMar>
            <w:vAlign w:val="center"/>
          </w:tcPr>
          <w:p>
            <w:r>
              <w:rPr>
                <w:b/>
                <w:bCs/>
                <w:color w:val="FFFFFF"/>
                <w:sz w:val="18"/>
                <w:szCs w:val="18"/>
              </w:rPr>
              <w:t xml:space="preserve">#</w:t>
            </w:r>
          </w:p>
        </w:tc>
        <w:tc>
          <w:tcPr>
            <w:tcW w:type="dxa" w:w="1900"/>
            <w:shd w:fill="1F3864" w:val="clear"/>
            <w:tcMar>
              <w:top w:type="dxa" w:w="80"/>
              <w:left w:type="dxa" w:w="90"/>
              <w:bottom w:type="dxa" w:w="80"/>
              <w:right w:type="dxa" w:w="90"/>
            </w:tcMar>
            <w:vAlign w:val="center"/>
          </w:tcPr>
          <w:p>
            <w:r>
              <w:rPr>
                <w:b/>
                <w:bCs/>
                <w:color w:val="FFFFFF"/>
                <w:sz w:val="18"/>
                <w:szCs w:val="18"/>
              </w:rPr>
              <w:t xml:space="preserve">Risk / Finding</w:t>
            </w:r>
          </w:p>
        </w:tc>
        <w:tc>
          <w:tcPr>
            <w:tcW w:type="dxa" w:w="2200"/>
            <w:shd w:fill="1F3864" w:val="clear"/>
            <w:tcMar>
              <w:top w:type="dxa" w:w="80"/>
              <w:left w:type="dxa" w:w="90"/>
              <w:bottom w:type="dxa" w:w="80"/>
              <w:right w:type="dxa" w:w="90"/>
            </w:tcMar>
            <w:vAlign w:val="center"/>
          </w:tcPr>
          <w:p>
            <w:r>
              <w:rPr>
                <w:b/>
                <w:bCs/>
                <w:color w:val="FFFFFF"/>
                <w:sz w:val="18"/>
                <w:szCs w:val="18"/>
              </w:rPr>
              <w:t xml:space="preserve">Evidence / Observation</w:t>
            </w:r>
          </w:p>
        </w:tc>
        <w:tc>
          <w:tcPr>
            <w:tcW w:type="dxa" w:w="3200"/>
            <w:shd w:fill="1F3864" w:val="clear"/>
            <w:tcMar>
              <w:top w:type="dxa" w:w="80"/>
              <w:left w:type="dxa" w:w="90"/>
              <w:bottom w:type="dxa" w:w="80"/>
              <w:right w:type="dxa" w:w="90"/>
            </w:tcMar>
            <w:vAlign w:val="center"/>
          </w:tcPr>
          <w:p>
            <w:r>
              <w:rPr>
                <w:b/>
                <w:bCs/>
                <w:color w:val="FFFFFF"/>
                <w:sz w:val="18"/>
                <w:szCs w:val="18"/>
              </w:rPr>
              <w:t xml:space="preserve">Potential Impact</w:t>
            </w:r>
          </w:p>
        </w:tc>
        <w:tc>
          <w:tcPr>
            <w:tcW w:type="dxa" w:w="1200"/>
            <w:shd w:fill="1F3864" w:val="clear"/>
            <w:tcMar>
              <w:top w:type="dxa" w:w="80"/>
              <w:left w:type="dxa" w:w="90"/>
              <w:bottom w:type="dxa" w:w="80"/>
              <w:right w:type="dxa" w:w="90"/>
            </w:tcMar>
            <w:vAlign w:val="center"/>
          </w:tcPr>
          <w:p>
            <w:r>
              <w:rPr>
                <w:b/>
                <w:bCs/>
                <w:color w:val="FFFFFF"/>
                <w:sz w:val="18"/>
                <w:szCs w:val="18"/>
              </w:rPr>
              <w:t xml:space="preserve">Risk Level</w:t>
            </w:r>
          </w:p>
        </w:tc>
      </w:tr>
      <w:tr>
        <w:tc>
          <w:tcPr>
            <w:tcW w:type="dxa" w:w="500"/>
            <w:tcMar>
              <w:top w:type="dxa" w:w="80"/>
              <w:left w:type="dxa" w:w="90"/>
              <w:bottom w:type="dxa" w:w="80"/>
              <w:right w:type="dxa" w:w="90"/>
            </w:tcMar>
          </w:tcPr>
          <w:p>
            <w:r>
              <w:rPr>
                <w:sz w:val="18"/>
                <w:szCs w:val="18"/>
              </w:rPr>
              <w:t xml:space="preserve">1</w:t>
            </w:r>
          </w:p>
        </w:tc>
        <w:tc>
          <w:tcPr>
            <w:tcW w:type="dxa" w:w="1900"/>
            <w:tcMar>
              <w:top w:type="dxa" w:w="80"/>
              <w:left w:type="dxa" w:w="90"/>
              <w:bottom w:type="dxa" w:w="80"/>
              <w:right w:type="dxa" w:w="90"/>
            </w:tcMar>
          </w:tcPr>
          <w:p>
            <w:r>
              <w:rPr>
                <w:sz w:val="18"/>
                <w:szCs w:val="18"/>
              </w:rPr>
              <w:t xml:space="preserve">Web technology information exposed</w:t>
            </w:r>
          </w:p>
        </w:tc>
        <w:tc>
          <w:tcPr>
            <w:tcW w:type="dxa" w:w="2200"/>
            <w:tcMar>
              <w:top w:type="dxa" w:w="80"/>
              <w:left w:type="dxa" w:w="90"/>
              <w:bottom w:type="dxa" w:w="80"/>
              <w:right w:type="dxa" w:w="90"/>
            </w:tcMar>
          </w:tcPr>
          <w:p>
            <w:r>
              <w:rPr>
                <w:sz w:val="18"/>
                <w:szCs w:val="18"/>
              </w:rPr>
              <w:t xml:space="preserve">whatweb identified WordPress 7.1.2 and WP Download Manager 3.3.58</w:t>
            </w:r>
          </w:p>
        </w:tc>
        <w:tc>
          <w:tcPr>
            <w:tcW w:type="dxa" w:w="3200"/>
            <w:tcMar>
              <w:top w:type="dxa" w:w="80"/>
              <w:left w:type="dxa" w:w="90"/>
              <w:bottom w:type="dxa" w:w="80"/>
              <w:right w:type="dxa" w:w="90"/>
            </w:tcMar>
          </w:tcPr>
          <w:p>
            <w:r>
              <w:rPr>
                <w:sz w:val="18"/>
                <w:szCs w:val="18"/>
              </w:rPr>
              <w:t xml:space="preserve">Attackers may use exposed technology/version information to identify software requiring further security review</w:t>
            </w:r>
          </w:p>
        </w:tc>
        <w:tc>
          <w:tcPr>
            <w:tcW w:type="dxa" w:w="1200"/>
            <w:tcMar>
              <w:top w:type="dxa" w:w="80"/>
              <w:left w:type="dxa" w:w="90"/>
              <w:bottom w:type="dxa" w:w="80"/>
              <w:right w:type="dxa" w:w="90"/>
            </w:tcMar>
            <w:vAlign w:val="center"/>
          </w:tcPr>
          <w:p>
            <w:pPr>
              <w:jc w:val="center"/>
            </w:pPr>
            <w:r>
              <w:rPr>
                <w:b/>
                <w:bCs/>
                <w:color w:val="ED7D31"/>
                <w:sz w:val="18"/>
                <w:szCs w:val="18"/>
              </w:rPr>
              <w:t xml:space="preserve">● Medium</w:t>
            </w:r>
          </w:p>
        </w:tc>
      </w:tr>
      <w:tr>
        <w:tc>
          <w:tcPr>
            <w:tcW w:type="dxa" w:w="500"/>
            <w:tcMar>
              <w:top w:type="dxa" w:w="80"/>
              <w:left w:type="dxa" w:w="90"/>
              <w:bottom w:type="dxa" w:w="80"/>
              <w:right w:type="dxa" w:w="90"/>
            </w:tcMar>
          </w:tcPr>
          <w:p>
            <w:r>
              <w:rPr>
                <w:sz w:val="18"/>
                <w:szCs w:val="18"/>
              </w:rPr>
              <w:t xml:space="preserve">2</w:t>
            </w:r>
          </w:p>
        </w:tc>
        <w:tc>
          <w:tcPr>
            <w:tcW w:type="dxa" w:w="1900"/>
            <w:tcMar>
              <w:top w:type="dxa" w:w="80"/>
              <w:left w:type="dxa" w:w="90"/>
              <w:bottom w:type="dxa" w:w="80"/>
              <w:right w:type="dxa" w:w="90"/>
            </w:tcMar>
          </w:tcPr>
          <w:p>
            <w:r>
              <w:rPr>
                <w:sz w:val="18"/>
                <w:szCs w:val="18"/>
              </w:rPr>
              <w:t xml:space="preserve">Server IP address identifiable</w:t>
            </w:r>
          </w:p>
        </w:tc>
        <w:tc>
          <w:tcPr>
            <w:tcW w:type="dxa" w:w="2200"/>
            <w:tcMar>
              <w:top w:type="dxa" w:w="80"/>
              <w:left w:type="dxa" w:w="90"/>
              <w:bottom w:type="dxa" w:w="80"/>
              <w:right w:type="dxa" w:w="90"/>
            </w:tcMar>
          </w:tcPr>
          <w:p>
            <w:r>
              <w:rPr>
                <w:sz w:val="18"/>
                <w:szCs w:val="18"/>
              </w:rPr>
              <w:t xml:space="preserve">nslookup resolved the domain to 192.232.216.135</w:t>
            </w:r>
          </w:p>
        </w:tc>
        <w:tc>
          <w:tcPr>
            <w:tcW w:type="dxa" w:w="3200"/>
            <w:tcMar>
              <w:top w:type="dxa" w:w="80"/>
              <w:left w:type="dxa" w:w="90"/>
              <w:bottom w:type="dxa" w:w="80"/>
              <w:right w:type="dxa" w:w="90"/>
            </w:tcMar>
          </w:tcPr>
          <w:p>
            <w:r>
              <w:rPr>
                <w:sz w:val="18"/>
                <w:szCs w:val="18"/>
              </w:rPr>
              <w:t xml:space="preserve">Provides information about the network location of the web service</w:t>
            </w:r>
          </w:p>
        </w:tc>
        <w:tc>
          <w:tcPr>
            <w:tcW w:type="dxa" w:w="1200"/>
            <w:tcMar>
              <w:top w:type="dxa" w:w="80"/>
              <w:left w:type="dxa" w:w="90"/>
              <w:bottom w:type="dxa" w:w="80"/>
              <w:right w:type="dxa" w:w="90"/>
            </w:tcMar>
            <w:vAlign w:val="center"/>
          </w:tcPr>
          <w:p>
            <w:pPr>
              <w:jc w:val="center"/>
            </w:pPr>
            <w:r>
              <w:rPr>
                <w:b/>
                <w:bCs/>
                <w:color w:val="70AD47"/>
                <w:sz w:val="18"/>
                <w:szCs w:val="18"/>
              </w:rPr>
              <w:t xml:space="preserve">● Low</w:t>
            </w:r>
          </w:p>
        </w:tc>
      </w:tr>
      <w:tr>
        <w:tc>
          <w:tcPr>
            <w:tcW w:type="dxa" w:w="500"/>
            <w:tcMar>
              <w:top w:type="dxa" w:w="80"/>
              <w:left w:type="dxa" w:w="90"/>
              <w:bottom w:type="dxa" w:w="80"/>
              <w:right w:type="dxa" w:w="90"/>
            </w:tcMar>
          </w:tcPr>
          <w:p>
            <w:r>
              <w:rPr>
                <w:sz w:val="18"/>
                <w:szCs w:val="18"/>
              </w:rPr>
              <w:t xml:space="preserve">3</w:t>
            </w:r>
          </w:p>
        </w:tc>
        <w:tc>
          <w:tcPr>
            <w:tcW w:type="dxa" w:w="1900"/>
            <w:tcMar>
              <w:top w:type="dxa" w:w="80"/>
              <w:left w:type="dxa" w:w="90"/>
              <w:bottom w:type="dxa" w:w="80"/>
              <w:right w:type="dxa" w:w="90"/>
            </w:tcMar>
          </w:tcPr>
          <w:p>
            <w:r>
              <w:rPr>
                <w:sz w:val="18"/>
                <w:szCs w:val="18"/>
              </w:rPr>
              <w:t xml:space="preserve">HTTP technical information exposed</w:t>
            </w:r>
          </w:p>
        </w:tc>
        <w:tc>
          <w:tcPr>
            <w:tcW w:type="dxa" w:w="2200"/>
            <w:tcMar>
              <w:top w:type="dxa" w:w="80"/>
              <w:left w:type="dxa" w:w="90"/>
              <w:bottom w:type="dxa" w:w="80"/>
              <w:right w:type="dxa" w:w="90"/>
            </w:tcMar>
          </w:tcPr>
          <w:p>
            <w:r>
              <w:rPr>
                <w:sz w:val="18"/>
                <w:szCs w:val="18"/>
              </w:rPr>
              <w:t xml:space="preserve">curl -I returned HTTP response headers and exposed the /wp-json/ REST API endpoint</w:t>
            </w:r>
          </w:p>
        </w:tc>
        <w:tc>
          <w:tcPr>
            <w:tcW w:type="dxa" w:w="3200"/>
            <w:tcMar>
              <w:top w:type="dxa" w:w="80"/>
              <w:left w:type="dxa" w:w="90"/>
              <w:bottom w:type="dxa" w:w="80"/>
              <w:right w:type="dxa" w:w="90"/>
            </w:tcMar>
          </w:tcPr>
          <w:p>
            <w:r>
              <w:rPr>
                <w:sz w:val="18"/>
                <w:szCs w:val="18"/>
              </w:rPr>
              <w:t xml:space="preserve">May assist technology fingerprinting and further enumeration</w:t>
            </w:r>
          </w:p>
        </w:tc>
        <w:tc>
          <w:tcPr>
            <w:tcW w:type="dxa" w:w="1200"/>
            <w:tcMar>
              <w:top w:type="dxa" w:w="80"/>
              <w:left w:type="dxa" w:w="90"/>
              <w:bottom w:type="dxa" w:w="80"/>
              <w:right w:type="dxa" w:w="90"/>
            </w:tcMar>
            <w:vAlign w:val="center"/>
          </w:tcPr>
          <w:p>
            <w:pPr>
              <w:jc w:val="center"/>
            </w:pPr>
            <w:r>
              <w:rPr>
                <w:b/>
                <w:bCs/>
                <w:color w:val="70AD47"/>
                <w:sz w:val="18"/>
                <w:szCs w:val="18"/>
              </w:rPr>
              <w:t xml:space="preserve">● Low</w:t>
            </w:r>
          </w:p>
        </w:tc>
      </w:tr>
      <w:tr>
        <w:tc>
          <w:tcPr>
            <w:tcW w:type="dxa" w:w="500"/>
            <w:tcMar>
              <w:top w:type="dxa" w:w="80"/>
              <w:left w:type="dxa" w:w="90"/>
              <w:bottom w:type="dxa" w:w="80"/>
              <w:right w:type="dxa" w:w="90"/>
            </w:tcMar>
          </w:tcPr>
          <w:p>
            <w:r>
              <w:rPr>
                <w:sz w:val="18"/>
                <w:szCs w:val="18"/>
              </w:rPr>
              <w:t xml:space="preserve">4</w:t>
            </w:r>
          </w:p>
        </w:tc>
        <w:tc>
          <w:tcPr>
            <w:tcW w:type="dxa" w:w="1900"/>
            <w:tcMar>
              <w:top w:type="dxa" w:w="80"/>
              <w:left w:type="dxa" w:w="90"/>
              <w:bottom w:type="dxa" w:w="80"/>
              <w:right w:type="dxa" w:w="90"/>
            </w:tcMar>
          </w:tcPr>
          <w:p>
            <w:r>
              <w:rPr>
                <w:sz w:val="18"/>
                <w:szCs w:val="18"/>
              </w:rPr>
              <w:t xml:space="preserve">WAF technology identifiable</w:t>
            </w:r>
          </w:p>
        </w:tc>
        <w:tc>
          <w:tcPr>
            <w:tcW w:type="dxa" w:w="2200"/>
            <w:tcMar>
              <w:top w:type="dxa" w:w="80"/>
              <w:left w:type="dxa" w:w="90"/>
              <w:bottom w:type="dxa" w:w="80"/>
              <w:right w:type="dxa" w:w="90"/>
            </w:tcMar>
          </w:tcPr>
          <w:p>
            <w:r>
              <w:rPr>
                <w:sz w:val="18"/>
                <w:szCs w:val="18"/>
              </w:rPr>
              <w:t xml:space="preserve">wafw00f identified ModSecurity (SpiderLabs)</w:t>
            </w:r>
          </w:p>
        </w:tc>
        <w:tc>
          <w:tcPr>
            <w:tcW w:type="dxa" w:w="3200"/>
            <w:tcMar>
              <w:top w:type="dxa" w:w="80"/>
              <w:left w:type="dxa" w:w="90"/>
              <w:bottom w:type="dxa" w:w="80"/>
              <w:right w:type="dxa" w:w="90"/>
            </w:tcMar>
          </w:tcPr>
          <w:p>
            <w:r>
              <w:rPr>
                <w:sz w:val="18"/>
                <w:szCs w:val="18"/>
              </w:rPr>
              <w:t xml:space="preserve">Reveals information about the web application's security architecture</w:t>
            </w:r>
          </w:p>
        </w:tc>
        <w:tc>
          <w:tcPr>
            <w:tcW w:type="dxa" w:w="1200"/>
            <w:tcMar>
              <w:top w:type="dxa" w:w="80"/>
              <w:left w:type="dxa" w:w="90"/>
              <w:bottom w:type="dxa" w:w="80"/>
              <w:right w:type="dxa" w:w="90"/>
            </w:tcMar>
            <w:vAlign w:val="center"/>
          </w:tcPr>
          <w:p>
            <w:pPr>
              <w:jc w:val="center"/>
            </w:pPr>
            <w:r>
              <w:rPr>
                <w:b/>
                <w:bCs/>
                <w:color w:val="70AD47"/>
                <w:sz w:val="18"/>
                <w:szCs w:val="18"/>
              </w:rPr>
              <w:t xml:space="preserve">● Low</w:t>
            </w:r>
          </w:p>
        </w:tc>
      </w:tr>
      <w:tr>
        <w:tc>
          <w:tcPr>
            <w:tcW w:type="dxa" w:w="500"/>
            <w:tcMar>
              <w:top w:type="dxa" w:w="80"/>
              <w:left w:type="dxa" w:w="90"/>
              <w:bottom w:type="dxa" w:w="80"/>
              <w:right w:type="dxa" w:w="90"/>
            </w:tcMar>
          </w:tcPr>
          <w:p>
            <w:r>
              <w:rPr>
                <w:sz w:val="18"/>
                <w:szCs w:val="18"/>
              </w:rPr>
              <w:t xml:space="preserve">5</w:t>
            </w:r>
          </w:p>
        </w:tc>
        <w:tc>
          <w:tcPr>
            <w:tcW w:type="dxa" w:w="1900"/>
            <w:tcMar>
              <w:top w:type="dxa" w:w="80"/>
              <w:left w:type="dxa" w:w="90"/>
              <w:bottom w:type="dxa" w:w="80"/>
              <w:right w:type="dxa" w:w="90"/>
            </w:tcMar>
          </w:tcPr>
          <w:p>
            <w:r>
              <w:rPr>
                <w:sz w:val="18"/>
                <w:szCs w:val="18"/>
              </w:rPr>
              <w:t xml:space="preserve">Domain registration infrastructure exposed</w:t>
            </w:r>
          </w:p>
        </w:tc>
        <w:tc>
          <w:tcPr>
            <w:tcW w:type="dxa" w:w="2200"/>
            <w:tcMar>
              <w:top w:type="dxa" w:w="80"/>
              <w:left w:type="dxa" w:w="90"/>
              <w:bottom w:type="dxa" w:w="80"/>
              <w:right w:type="dxa" w:w="90"/>
            </w:tcMar>
          </w:tcPr>
          <w:p>
            <w:r>
              <w:rPr>
                <w:sz w:val="18"/>
                <w:szCs w:val="18"/>
              </w:rPr>
              <w:t xml:space="preserve">whois identified registrar (GoDaddy), creation/expiry dates and name servers</w:t>
            </w:r>
          </w:p>
        </w:tc>
        <w:tc>
          <w:tcPr>
            <w:tcW w:type="dxa" w:w="3200"/>
            <w:tcMar>
              <w:top w:type="dxa" w:w="80"/>
              <w:left w:type="dxa" w:w="90"/>
              <w:bottom w:type="dxa" w:w="80"/>
              <w:right w:type="dxa" w:w="90"/>
            </w:tcMar>
          </w:tcPr>
          <w:p>
            <w:r>
              <w:rPr>
                <w:sz w:val="18"/>
                <w:szCs w:val="18"/>
              </w:rPr>
              <w:t xml:space="preserve">Can help build a broader infrastructure and hosting profile of the target</w:t>
            </w:r>
          </w:p>
        </w:tc>
        <w:tc>
          <w:tcPr>
            <w:tcW w:type="dxa" w:w="1200"/>
            <w:tcMar>
              <w:top w:type="dxa" w:w="80"/>
              <w:left w:type="dxa" w:w="90"/>
              <w:bottom w:type="dxa" w:w="80"/>
              <w:right w:type="dxa" w:w="90"/>
            </w:tcMar>
            <w:vAlign w:val="center"/>
          </w:tcPr>
          <w:p>
            <w:pPr>
              <w:jc w:val="center"/>
            </w:pPr>
            <w:r>
              <w:rPr>
                <w:b/>
                <w:bCs/>
                <w:color w:val="70AD47"/>
                <w:sz w:val="18"/>
                <w:szCs w:val="18"/>
              </w:rPr>
              <w:t xml:space="preserve">● Low</w:t>
            </w:r>
          </w:p>
        </w:tc>
      </w:tr>
      <w:tr>
        <w:tc>
          <w:tcPr>
            <w:tcW w:type="dxa" w:w="500"/>
            <w:tcMar>
              <w:top w:type="dxa" w:w="80"/>
              <w:left w:type="dxa" w:w="90"/>
              <w:bottom w:type="dxa" w:w="80"/>
              <w:right w:type="dxa" w:w="90"/>
            </w:tcMar>
          </w:tcPr>
          <w:p>
            <w:r>
              <w:rPr>
                <w:sz w:val="18"/>
                <w:szCs w:val="18"/>
              </w:rPr>
              <w:t xml:space="preserve">6</w:t>
            </w:r>
          </w:p>
        </w:tc>
        <w:tc>
          <w:tcPr>
            <w:tcW w:type="dxa" w:w="1900"/>
            <w:tcMar>
              <w:top w:type="dxa" w:w="80"/>
              <w:left w:type="dxa" w:w="90"/>
              <w:bottom w:type="dxa" w:w="80"/>
              <w:right w:type="dxa" w:w="90"/>
            </w:tcMar>
          </w:tcPr>
          <w:p>
            <w:r>
              <w:rPr>
                <w:sz w:val="18"/>
                <w:szCs w:val="18"/>
              </w:rPr>
              <w:t xml:space="preserve">Live host confirmed on local network</w:t>
            </w:r>
          </w:p>
        </w:tc>
        <w:tc>
          <w:tcPr>
            <w:tcW w:type="dxa" w:w="2200"/>
            <w:tcMar>
              <w:top w:type="dxa" w:w="80"/>
              <w:left w:type="dxa" w:w="90"/>
              <w:bottom w:type="dxa" w:w="80"/>
              <w:right w:type="dxa" w:w="90"/>
            </w:tcMar>
          </w:tcPr>
          <w:p>
            <w:r>
              <w:rPr>
                <w:sz w:val="18"/>
                <w:szCs w:val="18"/>
              </w:rPr>
              <w:t xml:space="preserve">Nmap confirmed host 192.168.52.1 is up (no ports scanned)</w:t>
            </w:r>
          </w:p>
        </w:tc>
        <w:tc>
          <w:tcPr>
            <w:tcW w:type="dxa" w:w="3200"/>
            <w:tcMar>
              <w:top w:type="dxa" w:w="80"/>
              <w:left w:type="dxa" w:w="90"/>
              <w:bottom w:type="dxa" w:w="80"/>
              <w:right w:type="dxa" w:w="90"/>
            </w:tcMar>
          </w:tcPr>
          <w:p>
            <w:r>
              <w:rPr>
                <w:sz w:val="18"/>
                <w:szCs w:val="18"/>
              </w:rPr>
              <w:t xml:space="preserve">Confirms a device is active and reachable; further port/service scanning would reveal more</w:t>
            </w:r>
          </w:p>
        </w:tc>
        <w:tc>
          <w:tcPr>
            <w:tcW w:type="dxa" w:w="1200"/>
            <w:tcMar>
              <w:top w:type="dxa" w:w="80"/>
              <w:left w:type="dxa" w:w="90"/>
              <w:bottom w:type="dxa" w:w="80"/>
              <w:right w:type="dxa" w:w="90"/>
            </w:tcMar>
            <w:vAlign w:val="center"/>
          </w:tcPr>
          <w:p>
            <w:pPr>
              <w:jc w:val="center"/>
            </w:pPr>
            <w:r>
              <w:rPr>
                <w:b/>
                <w:bCs/>
                <w:color w:val="70AD47"/>
                <w:sz w:val="18"/>
                <w:szCs w:val="18"/>
              </w:rPr>
              <w:t xml:space="preserve">● Low</w:t>
            </w:r>
          </w:p>
        </w:tc>
      </w:tr>
    </w:tbl>
    <w:p>
      <w:pPr>
        <w:spacing w:after="150"/>
      </w:pPr>
      <w:r>
        <w:rPr>
          <w:sz w:val="22"/>
          <w:szCs w:val="22"/>
        </w:rPr>
        <w:t xml:space="default"/>
      </w:r>
    </w:p>
    <w:p>
      <w:pPr>
        <w:spacing w:after="150"/>
      </w:pPr>
      <w:r>
        <w:rPr>
          <w:i/>
          <w:iCs/>
          <w:color w:val="595959"/>
          <w:sz w:val="18"/>
          <w:szCs w:val="18"/>
        </w:rPr>
        <w:t xml:space="preserve">Risk level key: ● Critical  ● Medium  ● Low</w:t>
      </w:r>
    </w:p>
    <w:p>
      <w:pPr>
        <w:spacing w:after="150"/>
      </w:pPr>
      <w:r>
        <w:rPr>
          <w:sz w:val="22"/>
          <w:szCs w:val="22"/>
        </w:rPr>
        <w:t xml:space="preserve">The risks above are observations from the footprinting and scanning exercises, not confirmed vulnerabilities. The practical exercises primarily involved information gathering and host discovery — no exploitation or vulnerability validation was performed. Therefore, the presence of information such as a software version, IP address or DNS record does not by itself mean that the system is vulnerable. Further authorized security testing would be required to confirm any actual vulnerability.</w:t>
      </w:r>
    </w:p>
    <w:p>
      <w:pPr>
        <w:pStyle w:val="Heading1"/>
        <w:spacing w:after="150" w:before="300"/>
      </w:pPr>
      <w:r>
        <w:rPr>
          <w:b/>
          <w:bCs/>
          <w:color w:val="C00000"/>
          <w:sz w:val="26"/>
          <w:szCs w:val="26"/>
        </w:rPr>
        <w:t xml:space="preserve">7. Recommendations</w:t>
      </w:r>
    </w:p>
    <w:p>
      <w:pPr>
        <w:pStyle w:val="ListParagraph"/>
        <w:numPr>
          <w:ilvl w:val="0"/>
          <w:numId w:val="1"/>
        </w:numPr>
        <w:spacing w:after="60"/>
      </w:pPr>
      <w:r>
        <w:rPr>
          <w:sz w:val="22"/>
          <w:szCs w:val="22"/>
        </w:rPr>
        <w:t xml:space="preserve">Review publicly exposed technology information — organizations should regularly review what information about their web technologies, CMS and plugins is publicly visible.</w:t>
      </w:r>
    </w:p>
    <w:p>
      <w:pPr>
        <w:pStyle w:val="ListParagraph"/>
        <w:numPr>
          <w:ilvl w:val="0"/>
          <w:numId w:val="1"/>
        </w:numPr>
        <w:spacing w:after="60"/>
      </w:pPr>
      <w:r>
        <w:rPr>
          <w:sz w:val="22"/>
          <w:szCs w:val="22"/>
        </w:rPr>
        <w:t xml:space="preserve">Keep software updated — CMS platforms, plugins and other web technologies should be regularly updated and reviewed against current security advisories.</w:t>
      </w:r>
    </w:p>
    <w:p>
      <w:pPr>
        <w:pStyle w:val="ListParagraph"/>
        <w:numPr>
          <w:ilvl w:val="0"/>
          <w:numId w:val="1"/>
        </w:numPr>
        <w:spacing w:after="60"/>
      </w:pPr>
      <w:r>
        <w:rPr>
          <w:sz w:val="22"/>
          <w:szCs w:val="22"/>
        </w:rPr>
        <w:t xml:space="preserve">Review HTTP headers — HTTP response headers should be reviewed to determine whether unnecessary technical information is being exposed.</w:t>
      </w:r>
    </w:p>
    <w:p>
      <w:pPr>
        <w:pStyle w:val="ListParagraph"/>
        <w:numPr>
          <w:ilvl w:val="0"/>
          <w:numId w:val="1"/>
        </w:numPr>
        <w:spacing w:after="60"/>
      </w:pPr>
      <w:r>
        <w:rPr>
          <w:sz w:val="22"/>
          <w:szCs w:val="22"/>
        </w:rPr>
        <w:t xml:space="preserve">Review WHOIS/domain exposure — confirm registrar-level privacy protection stays enabled and name-server configuration is reviewed periodically.</w:t>
      </w:r>
    </w:p>
    <w:p>
      <w:pPr>
        <w:pStyle w:val="ListParagraph"/>
        <w:numPr>
          <w:ilvl w:val="0"/>
          <w:numId w:val="1"/>
        </w:numPr>
        <w:spacing w:after="60"/>
      </w:pPr>
      <w:r>
        <w:rPr>
          <w:sz w:val="22"/>
          <w:szCs w:val="22"/>
        </w:rPr>
        <w:t xml:space="preserve">Properly configure and monitor the WAF — keep the WAF (ModSecurity) enabled and tuned, since it already blocks naive attacks.</w:t>
      </w:r>
    </w:p>
    <w:p>
      <w:pPr>
        <w:pStyle w:val="ListParagraph"/>
        <w:numPr>
          <w:ilvl w:val="0"/>
          <w:numId w:val="1"/>
        </w:numPr>
        <w:spacing w:after="60"/>
      </w:pPr>
      <w:r>
        <w:rPr>
          <w:sz w:val="22"/>
          <w:szCs w:val="22"/>
        </w:rPr>
        <w:t xml:space="preserve">Perform regular internal network discovery — organizations should periodically scan their own networks to identify active devices.</w:t>
      </w:r>
    </w:p>
    <w:p>
      <w:pPr>
        <w:pStyle w:val="ListParagraph"/>
        <w:numPr>
          <w:ilvl w:val="0"/>
          <w:numId w:val="1"/>
        </w:numPr>
        <w:spacing w:after="60"/>
      </w:pPr>
      <w:r>
        <w:rPr>
          <w:sz w:val="22"/>
          <w:szCs w:val="22"/>
        </w:rPr>
        <w:t xml:space="preserve">Follow up with a full port/service scan — since this scan only confirmed the host was up, a full port and service scan should be performed (with authorization) to identify running services.</w:t>
      </w:r>
    </w:p>
    <w:p>
      <w:pPr>
        <w:pStyle w:val="ListParagraph"/>
        <w:numPr>
          <w:ilvl w:val="0"/>
          <w:numId w:val="1"/>
        </w:numPr>
        <w:spacing w:after="60"/>
      </w:pPr>
      <w:r>
        <w:rPr>
          <w:sz w:val="22"/>
          <w:szCs w:val="22"/>
        </w:rPr>
        <w:t xml:space="preserve">Perform security testing with authorization — reconnaissance and scanning should only be performed against systems and networks where appropriate authorization has been provided.</w:t>
      </w:r>
    </w:p>
    <w:p>
      <w:pPr>
        <w:pStyle w:val="Heading1"/>
        <w:spacing w:after="150" w:before="300"/>
      </w:pPr>
      <w:r>
        <w:rPr>
          <w:b/>
          <w:bCs/>
          <w:color w:val="C00000"/>
          <w:sz w:val="26"/>
          <w:szCs w:val="26"/>
        </w:rPr>
        <w:t xml:space="preserve">8. Conclusion</w:t>
      </w:r>
    </w:p>
    <w:p>
      <w:pPr>
        <w:spacing w:after="150"/>
      </w:pPr>
      <w:r>
        <w:rPr>
          <w:sz w:val="22"/>
          <w:szCs w:val="22"/>
        </w:rPr>
        <w:t xml:space="preserve">During this phase of my Cybersecurity &amp; Ethical Hacking internship, I completed practical activities covering footprinting, reconnaissance and network scanning.</w:t>
      </w:r>
    </w:p>
    <w:p>
      <w:pPr>
        <w:spacing w:after="150"/>
      </w:pPr>
      <w:r>
        <w:rPr>
          <w:sz w:val="22"/>
          <w:szCs w:val="22"/>
        </w:rPr>
        <w:t xml:space="preserve">In the footprinting activity, I used five Kali Linux tools to collect information about the target domain. I learned how WHOIS can provide domain information, WhatWeb can identify web technologies, Nslookup can resolve domain names, Curl can inspect HTTP headers, and Wafw00f can identify a WAF.</w:t>
      </w:r>
    </w:p>
    <w:p>
      <w:pPr>
        <w:spacing w:after="150"/>
      </w:pPr>
      <w:r>
        <w:rPr>
          <w:sz w:val="22"/>
          <w:szCs w:val="22"/>
        </w:rPr>
        <w:t xml:space="preserve">In the network scanning activity, I used Nmap to confirm that a host on my local network was live and reachable.</w:t>
      </w:r>
    </w:p>
    <w:p>
      <w:pPr>
        <w:spacing w:after="150"/>
      </w:pPr>
      <w:r>
        <w:rPr>
          <w:sz w:val="22"/>
          <w:szCs w:val="22"/>
        </w:rPr>
        <w:t xml:space="preserve">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pPr>
        <w:spacing w:after="150"/>
      </w:pPr>
      <w:r>
        <w:rPr>
          <w:sz w:val="22"/>
          <w:szCs w:val="22"/>
        </w:rPr>
        <w:t xml:space="preserve">Finally, I learned that reconnaissance and scanning must always be performed within an authorized scope. These activities were completed as part of the assigned educational cybersecurity lab.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9f0c1f8a1dad64abfda2261bf0ae4eb9d64c1b.png"/><Relationship Id="rId8" Type="http://schemas.openxmlformats.org/officeDocument/2006/relationships/image" Target="media/1321620b3c434829e34dd9d87940df4be3f5bdbf.png"/><Relationship Id="rId9" Type="http://schemas.openxmlformats.org/officeDocument/2006/relationships/image" Target="media/27e0df744d930aa1c1cca240621eef26c182a956.png"/><Relationship Id="rId10" Type="http://schemas.openxmlformats.org/officeDocument/2006/relationships/image" Target="media/5c91fb14ee93346a06a212db7c7c050d851a80cb.png"/><Relationship Id="rId11" Type="http://schemas.openxmlformats.org/officeDocument/2006/relationships/image" Target="media/a21e1c644735a89c999250563f6f4528a18d2de5.png"/><Relationship Id="rId12" Type="http://schemas.openxmlformats.org/officeDocument/2006/relationships/image" Target="media/d67137502a0259a3fb24ae67a33a85e6a06cc9c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2026-09-23T15:05:56.772Z</dcterms:created>
  <dcterms:modified xsi:type="dcterms:W3CDTF">2026-09-23T15:05:56.782Z</dcterms:modified>
</cp:coreProperties>
</file>

<file path=docProps/custom.xml><?xml version="1.0" encoding="utf-8"?>
<Properties xmlns="http://schemas.openxmlformats.org/officeDocument/2006/custom-properties" xmlns:vt="http://schemas.openxmlformats.org/officeDocument/2006/docPropsVTypes"/>
</file>