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25.png" ContentType="image/png"/>
  <Override PartName="/word/media/rId27.png" ContentType="image/png"/>
  <Override PartName="/word/media/rId31.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w:t>
      </w:r>
      <w:r>
        <w:t xml:space="preserve"> </w:t>
      </w:r>
      <w:r>
        <w:t xml:space="preserve">of</w:t>
      </w:r>
      <w:r>
        <w:t xml:space="preserve"> </w:t>
      </w:r>
      <w:r>
        <w:t xml:space="preserve">Information</w:t>
      </w:r>
      <w:r>
        <w:t xml:space="preserve"> </w:t>
      </w:r>
      <w:r>
        <w:t xml:space="preserve">Report</w:t>
      </w:r>
    </w:p>
    <w:p>
      <w:pPr>
        <w:pStyle w:val="Authors"/>
      </w:pPr>
      <w:r>
        <w:t xml:space="preserve">Adenoma</w:t>
      </w:r>
    </w:p>
    <w:p>
      <w:pPr>
        <w:pStyle w:val="Date"/>
      </w:pPr>
      <w:r>
        <w:t xml:space="preserve">04</w:t>
      </w:r>
      <w:r>
        <w:t xml:space="preserve"> </w:t>
      </w:r>
      <w:r>
        <w:t xml:space="preserve">November,</w:t>
      </w:r>
      <w:r>
        <w:t xml:space="preserve"> </w:t>
      </w:r>
      <w:r>
        <w:t xml:space="preserve">2014</w:t>
      </w:r>
    </w:p>
    <w:bookmarkStart w:id="21" w:name="introduction"/>
    <w:p>
      <w:pPr>
        <w:pStyle w:val="Heading1"/>
      </w:pPr>
      <w:r>
        <w:t xml:space="preserve">1. Introduction</w:t>
      </w:r>
    </w:p>
    <w:bookmarkEnd w:id="21"/>
    <w:p>
      <w:r>
        <w:t xml:space="preserve">Welcome to the Sheffield Accelerated Value of Information (SAVI) application report. The results of your Value of Information analyses in SAVI are reported below. The results are presented in a standardised format to help with the interpretation of your results and future reporting.</w:t>
      </w:r>
    </w:p>
    <w:p>
      <w:r>
        <w:t xml:space="preserve">In section 2 summary results for the probabilistic sensitivity analysis are presented. Summary statistics, and graphical illustrations are provided to verify the results against previous analysis of the data and illustrate the uncertainty in the model.</w:t>
      </w:r>
    </w:p>
    <w:p>
      <w:r>
        <w:t xml:space="preserve">In section 3 the results of the Expected Value of Perfect Information (EVPI) analysis of the data are presented.</w:t>
      </w:r>
    </w:p>
    <w:p>
      <w:r>
        <w:t xml:space="preserve">In section 4 the results of single parameter Partial Expected Value of Perfect Information (EVPPI) are reported. The results of the analysis of multiple parameter EVPPI, selected in the application are provided.</w:t>
      </w:r>
    </w:p>
    <w:bookmarkStart w:id="22" w:name="exploring-current-uncertainty-probabilistic-sensitivity-analysis-results"/>
    <w:p>
      <w:pPr>
        <w:pStyle w:val="Heading1"/>
      </w:pPr>
      <w:r>
        <w:t xml:space="preserve">2. Exploring Current Uncertainty: Probabilistic Sensitivity Analysis Results</w:t>
      </w:r>
    </w:p>
    <w:bookmarkEnd w:id="22"/>
    <w:bookmarkStart w:id="23" w:name="probabilistic-sensitivity-analysis-summary"/>
    <w:p>
      <w:pPr>
        <w:pStyle w:val="Heading2"/>
      </w:pPr>
      <w:r>
        <w:t xml:space="preserve">2.1 Probabilistic Sensitivity Analysis Summary</w:t>
      </w:r>
    </w:p>
    <w:bookmarkEnd w:id="23"/>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c>
          <w:tcPr>
            <w:tcBorders>
              <w:bottom w:val="single"/>
            </w:tcBorders>
            <w:vAlign w:val="bottom"/>
          </w:tcPr>
          <w:p>
            <w:pPr>
              <w:pStyle w:val="Compact"/>
              <w:jc w:val="left"/>
            </w:pPr>
            <w:r>
              <w:t xml:space="preserve">X6</w:t>
            </w:r>
          </w:p>
        </w:tc>
        <w:tc>
          <w:tcPr>
            <w:tcBorders>
              <w:bottom w:val="single"/>
            </w:tcBorders>
            <w:vAlign w:val="bottom"/>
          </w:tcPr>
          <w:p>
            <w:pPr>
              <w:pStyle w:val="Compact"/>
              <w:jc w:val="left"/>
            </w:pPr>
            <w:r>
              <w:t xml:space="preserve">X7</w:t>
            </w:r>
          </w:p>
        </w:tc>
        <w:tc>
          <w:tcPr>
            <w:tcBorders>
              <w:bottom w:val="single"/>
            </w:tcBorders>
            <w:vAlign w:val="bottom"/>
          </w:tcPr>
          <w:p>
            <w:pPr>
              <w:pStyle w:val="Compact"/>
              <w:jc w:val="left"/>
            </w:pPr>
            <w:r>
              <w:t xml:space="preserve">X8</w:t>
            </w:r>
          </w:p>
        </w:tc>
        <w:tc>
          <w:tcPr>
            <w:tcBorders>
              <w:bottom w:val="single"/>
            </w:tcBorders>
            <w:vAlign w:val="bottom"/>
          </w:tcPr>
          <w:p>
            <w:pPr>
              <w:pStyle w:val="Compact"/>
              <w:jc w:val="left"/>
            </w:pPr>
            <w:r>
              <w:t xml:space="preserve">X9</w:t>
            </w:r>
          </w:p>
        </w:tc>
        <w:tc>
          <w:tcPr>
            <w:tcBorders>
              <w:bottom w:val="single"/>
            </w:tcBorders>
            <w:vAlign w:val="bottom"/>
          </w:tcPr>
          <w:p>
            <w:pPr>
              <w:pStyle w:val="Compact"/>
              <w:jc w:val="left"/>
            </w:pPr>
            <w:r>
              <w:t xml:space="preserve">X10</w:t>
            </w:r>
          </w:p>
        </w:tc>
        <w:tc>
          <w:tcPr>
            <w:tcBorders>
              <w:bottom w:val="single"/>
            </w:tcBorders>
            <w:vAlign w:val="bottom"/>
          </w:tcPr>
          <w:p>
            <w:pPr>
              <w:pStyle w:val="Compact"/>
              <w:jc w:val="left"/>
            </w:pPr>
            <w:r>
              <w:t xml:space="preserve">X11</w:t>
            </w:r>
          </w:p>
        </w:tc>
        <w:tc>
          <w:tcPr>
            <w:tcBorders>
              <w:bottom w:val="single"/>
            </w:tcBorders>
            <w:vAlign w:val="bottom"/>
          </w:tcPr>
          <w:p>
            <w:pPr>
              <w:pStyle w:val="Compact"/>
              <w:jc w:val="left"/>
            </w:pPr>
            <w:r>
              <w:t xml:space="preserve">X12</w:t>
            </w:r>
          </w:p>
        </w:tc>
        <w:tc>
          <w:tcPr>
            <w:tcBorders>
              <w:bottom w:val="single"/>
            </w:tcBorders>
            <w:vAlign w:val="bottom"/>
          </w:tcPr>
          <w:p>
            <w:pPr>
              <w:pStyle w:val="Compact"/>
              <w:jc w:val="left"/>
            </w:pPr>
            <w:r>
              <w:t xml:space="preserve">X13</w:t>
            </w:r>
          </w:p>
        </w:tc>
      </w:tr>
      <w:tr>
        <w:tc>
          <w:p>
            <w:pPr>
              <w:pStyle w:val="Compact"/>
              <w:jc w:val="left"/>
            </w:pPr>
            <w:r>
              <w:t xml:space="preserve">Threshold ( £ )</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r>
        <w:tc>
          <w:p>
            <w:pPr>
              <w:pStyle w:val="Compact"/>
              <w:jc w:val="left"/>
            </w:pPr>
            <w:r>
              <w:t xml:space="preserve">Comparator</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r>
      <w:tr>
        <w:tc>
          <w:p>
            <w:pPr>
              <w:pStyle w:val="Compact"/>
              <w:jc w:val="left"/>
            </w:pPr>
            <w:r>
              <w:t xml:space="preserve">Number of PSA runs</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r>
        <w:tc>
          <w:p>
            <w:pPr>
              <w:pStyle w:val="Compact"/>
              <w:jc w:val="left"/>
            </w:pPr>
            <w:r>
              <w:t xml:space="preserve">Mean inc. QALY</w:t>
            </w:r>
          </w:p>
        </w:tc>
        <w:tc>
          <w:p>
            <w:pPr>
              <w:pStyle w:val="Compact"/>
              <w:jc w:val="left"/>
            </w:pPr>
            <w:r>
              <w:t xml:space="preserve">-0.1564</w:t>
            </w:r>
          </w:p>
        </w:tc>
        <w:tc>
          <w:p>
            <w:pPr>
              <w:pStyle w:val="Compact"/>
              <w:jc w:val="left"/>
            </w:pPr>
            <w:r>
              <w:t xml:space="preserve">-0.3629</w:t>
            </w:r>
          </w:p>
        </w:tc>
        <w:tc>
          <w:p>
            <w:pPr>
              <w:pStyle w:val="Compact"/>
              <w:jc w:val="left"/>
            </w:pPr>
            <w:r>
              <w:t xml:space="preserve">0.1223</w:t>
            </w:r>
          </w:p>
        </w:tc>
        <w:tc>
          <w:p>
            <w:pPr>
              <w:pStyle w:val="Compact"/>
              <w:jc w:val="left"/>
            </w:pPr>
            <w:r>
              <w:t xml:space="preserve">-0.0732</w:t>
            </w:r>
          </w:p>
        </w:tc>
        <w:tc>
          <w:p>
            <w:pPr>
              <w:pStyle w:val="Compact"/>
              <w:jc w:val="left"/>
            </w:pPr>
            <w:r>
              <w:t xml:space="preserve">-0.3382</w:t>
            </w:r>
          </w:p>
        </w:tc>
        <w:tc>
          <w:p>
            <w:pPr>
              <w:pStyle w:val="Compact"/>
              <w:jc w:val="left"/>
            </w:pPr>
            <w:r>
              <w:t xml:space="preserve">-0.4074</w:t>
            </w:r>
          </w:p>
        </w:tc>
        <w:tc>
          <w:p>
            <w:pPr>
              <w:pStyle w:val="Compact"/>
              <w:jc w:val="left"/>
            </w:pPr>
            <w:r>
              <w:t xml:space="preserve">-0.3720</w:t>
            </w:r>
          </w:p>
        </w:tc>
        <w:tc>
          <w:p>
            <w:pPr>
              <w:pStyle w:val="Compact"/>
              <w:jc w:val="left"/>
            </w:pPr>
            <w:r>
              <w:t xml:space="preserve">-0.4052</w:t>
            </w:r>
          </w:p>
        </w:tc>
        <w:tc>
          <w:p>
            <w:pPr>
              <w:pStyle w:val="Compact"/>
              <w:jc w:val="left"/>
            </w:pPr>
            <w:r>
              <w:t xml:space="preserve">-0.3960</w:t>
            </w:r>
          </w:p>
        </w:tc>
        <w:tc>
          <w:p>
            <w:pPr>
              <w:pStyle w:val="Compact"/>
              <w:jc w:val="left"/>
            </w:pPr>
            <w:r>
              <w:t xml:space="preserve">-0.3617</w:t>
            </w:r>
          </w:p>
        </w:tc>
        <w:tc>
          <w:p>
            <w:pPr>
              <w:pStyle w:val="Compact"/>
              <w:jc w:val="left"/>
            </w:pPr>
            <w:r>
              <w:t xml:space="preserve">-0.4014</w:t>
            </w:r>
          </w:p>
        </w:tc>
        <w:tc>
          <w:p>
            <w:pPr>
              <w:pStyle w:val="Compact"/>
              <w:jc w:val="left"/>
            </w:pPr>
            <w:r>
              <w:t xml:space="preserve">-0.5854</w:t>
            </w:r>
          </w:p>
        </w:tc>
      </w:tr>
      <w:tr>
        <w:tc>
          <w:p>
            <w:pPr>
              <w:pStyle w:val="Compact"/>
              <w:jc w:val="left"/>
            </w:pPr>
            <w:r>
              <w:t xml:space="preserve">Mean inc. Cost ( £ )</w:t>
            </w:r>
          </w:p>
        </w:tc>
        <w:tc>
          <w:p>
            <w:pPr>
              <w:pStyle w:val="Compact"/>
              <w:jc w:val="left"/>
            </w:pPr>
            <w:r>
              <w:t xml:space="preserve">-265.05</w:t>
            </w:r>
          </w:p>
        </w:tc>
        <w:tc>
          <w:p>
            <w:pPr>
              <w:pStyle w:val="Compact"/>
              <w:jc w:val="left"/>
            </w:pPr>
            <w:r>
              <w:t xml:space="preserve">-352.34</w:t>
            </w:r>
          </w:p>
        </w:tc>
        <w:tc>
          <w:p>
            <w:pPr>
              <w:pStyle w:val="Compact"/>
              <w:jc w:val="left"/>
            </w:pPr>
            <w:r>
              <w:t xml:space="preserve">336.01</w:t>
            </w:r>
          </w:p>
        </w:tc>
        <w:tc>
          <w:p>
            <w:pPr>
              <w:pStyle w:val="Compact"/>
              <w:jc w:val="left"/>
            </w:pPr>
            <w:r>
              <w:t xml:space="preserve">-152.21</w:t>
            </w:r>
          </w:p>
        </w:tc>
        <w:tc>
          <w:p>
            <w:pPr>
              <w:pStyle w:val="Compact"/>
              <w:jc w:val="left"/>
            </w:pPr>
            <w:r>
              <w:t xml:space="preserve">-331.10</w:t>
            </w:r>
          </w:p>
        </w:tc>
        <w:tc>
          <w:p>
            <w:pPr>
              <w:pStyle w:val="Compact"/>
              <w:jc w:val="left"/>
            </w:pPr>
            <w:r>
              <w:t xml:space="preserve">-173.83</w:t>
            </w:r>
          </w:p>
        </w:tc>
        <w:tc>
          <w:p>
            <w:pPr>
              <w:pStyle w:val="Compact"/>
              <w:jc w:val="left"/>
            </w:pPr>
            <w:r>
              <w:t xml:space="preserve">-264.22</w:t>
            </w:r>
          </w:p>
        </w:tc>
        <w:tc>
          <w:p>
            <w:pPr>
              <w:pStyle w:val="Compact"/>
              <w:jc w:val="left"/>
            </w:pPr>
            <w:r>
              <w:t xml:space="preserve">-339.67</w:t>
            </w:r>
          </w:p>
        </w:tc>
        <w:tc>
          <w:p>
            <w:pPr>
              <w:pStyle w:val="Compact"/>
              <w:jc w:val="left"/>
            </w:pPr>
            <w:r>
              <w:t xml:space="preserve">-135.28</w:t>
            </w:r>
          </w:p>
        </w:tc>
        <w:tc>
          <w:p>
            <w:pPr>
              <w:pStyle w:val="Compact"/>
              <w:jc w:val="left"/>
            </w:pPr>
            <w:r>
              <w:t xml:space="preserve">-241.76</w:t>
            </w:r>
          </w:p>
        </w:tc>
        <w:tc>
          <w:p>
            <w:pPr>
              <w:pStyle w:val="Compact"/>
              <w:jc w:val="left"/>
            </w:pPr>
            <w:r>
              <w:t xml:space="preserve">-329.86</w:t>
            </w:r>
          </w:p>
        </w:tc>
        <w:tc>
          <w:p>
            <w:pPr>
              <w:pStyle w:val="Compact"/>
              <w:jc w:val="left"/>
            </w:pPr>
            <w:r>
              <w:t xml:space="preserve">-287.03</w:t>
            </w:r>
          </w:p>
        </w:tc>
      </w:tr>
      <w:tr>
        <w:tc>
          <w:p>
            <w:pPr>
              <w:pStyle w:val="Compact"/>
              <w:jc w:val="left"/>
            </w:pPr>
            <w:r>
              <w:t xml:space="preserve">ICER Estimate ( £ per QALY )</w:t>
            </w:r>
          </w:p>
        </w:tc>
        <w:tc>
          <w:p>
            <w:pPr>
              <w:pStyle w:val="Compact"/>
              <w:jc w:val="left"/>
            </w:pPr>
            <w:r>
              <w:t xml:space="preserve">1694.48</w:t>
            </w:r>
          </w:p>
        </w:tc>
        <w:tc>
          <w:p>
            <w:pPr>
              <w:pStyle w:val="Compact"/>
              <w:jc w:val="left"/>
            </w:pPr>
            <w:r>
              <w:t xml:space="preserve">970.96</w:t>
            </w:r>
          </w:p>
        </w:tc>
        <w:tc>
          <w:p>
            <w:pPr>
              <w:pStyle w:val="Compact"/>
              <w:jc w:val="left"/>
            </w:pPr>
            <w:r>
              <w:t xml:space="preserve">2748.10</w:t>
            </w:r>
          </w:p>
        </w:tc>
        <w:tc>
          <w:p>
            <w:pPr>
              <w:pStyle w:val="Compact"/>
              <w:jc w:val="left"/>
            </w:pPr>
            <w:r>
              <w:t xml:space="preserve">2079.73</w:t>
            </w:r>
          </w:p>
        </w:tc>
        <w:tc>
          <w:p>
            <w:pPr>
              <w:pStyle w:val="Compact"/>
              <w:jc w:val="left"/>
            </w:pPr>
            <w:r>
              <w:t xml:space="preserve">978.88</w:t>
            </w:r>
          </w:p>
        </w:tc>
        <w:tc>
          <w:p>
            <w:pPr>
              <w:pStyle w:val="Compact"/>
              <w:jc w:val="left"/>
            </w:pPr>
            <w:r>
              <w:t xml:space="preserve">426.72</w:t>
            </w:r>
          </w:p>
        </w:tc>
        <w:tc>
          <w:p>
            <w:pPr>
              <w:pStyle w:val="Compact"/>
              <w:jc w:val="left"/>
            </w:pPr>
            <w:r>
              <w:t xml:space="preserve">710.24</w:t>
            </w:r>
          </w:p>
        </w:tc>
        <w:tc>
          <w:p>
            <w:pPr>
              <w:pStyle w:val="Compact"/>
              <w:jc w:val="left"/>
            </w:pPr>
            <w:r>
              <w:t xml:space="preserve">838.32</w:t>
            </w:r>
          </w:p>
        </w:tc>
        <w:tc>
          <w:p>
            <w:pPr>
              <w:pStyle w:val="Compact"/>
              <w:jc w:val="left"/>
            </w:pPr>
            <w:r>
              <w:t xml:space="preserve">341.65</w:t>
            </w:r>
          </w:p>
        </w:tc>
        <w:tc>
          <w:p>
            <w:pPr>
              <w:pStyle w:val="Compact"/>
              <w:jc w:val="left"/>
            </w:pPr>
            <w:r>
              <w:t xml:space="preserve">668.43</w:t>
            </w:r>
          </w:p>
        </w:tc>
        <w:tc>
          <w:p>
            <w:pPr>
              <w:pStyle w:val="Compact"/>
              <w:jc w:val="left"/>
            </w:pPr>
            <w:r>
              <w:t xml:space="preserve">821.81</w:t>
            </w:r>
          </w:p>
        </w:tc>
        <w:tc>
          <w:p>
            <w:pPr>
              <w:pStyle w:val="Compact"/>
              <w:jc w:val="left"/>
            </w:pPr>
            <w:r>
              <w:t xml:space="preserve">490.28</w:t>
            </w:r>
          </w:p>
        </w:tc>
      </w:tr>
      <w:tr>
        <w:tc>
          <w:p>
            <w:pPr>
              <w:pStyle w:val="Compact"/>
              <w:jc w:val="left"/>
            </w:pPr>
            <w:r>
              <w:t xml:space="preserve">2.5th CI for inc. QALY</w:t>
            </w:r>
          </w:p>
        </w:tc>
        <w:tc>
          <w:p>
            <w:pPr>
              <w:pStyle w:val="Compact"/>
              <w:jc w:val="left"/>
            </w:pPr>
            <w:r>
              <w:t xml:space="preserve">-0.2575</w:t>
            </w:r>
          </w:p>
        </w:tc>
        <w:tc>
          <w:p>
            <w:pPr>
              <w:pStyle w:val="Compact"/>
              <w:jc w:val="left"/>
            </w:pPr>
            <w:r>
              <w:t xml:space="preserve">-0.5619</w:t>
            </w:r>
          </w:p>
        </w:tc>
        <w:tc>
          <w:p>
            <w:pPr>
              <w:pStyle w:val="Compact"/>
              <w:jc w:val="left"/>
            </w:pPr>
            <w:r>
              <w:t xml:space="preserve">0.0727</w:t>
            </w:r>
          </w:p>
        </w:tc>
        <w:tc>
          <w:p>
            <w:pPr>
              <w:pStyle w:val="Compact"/>
              <w:jc w:val="left"/>
            </w:pPr>
            <w:r>
              <w:t xml:space="preserve">-0.1497</w:t>
            </w:r>
          </w:p>
        </w:tc>
        <w:tc>
          <w:p>
            <w:pPr>
              <w:pStyle w:val="Compact"/>
              <w:jc w:val="left"/>
            </w:pPr>
            <w:r>
              <w:t xml:space="preserve">-0.5345</w:t>
            </w:r>
          </w:p>
        </w:tc>
        <w:tc>
          <w:p>
            <w:pPr>
              <w:pStyle w:val="Compact"/>
              <w:jc w:val="left"/>
            </w:pPr>
            <w:r>
              <w:t xml:space="preserve">-0.5562</w:t>
            </w:r>
          </w:p>
        </w:tc>
        <w:tc>
          <w:p>
            <w:pPr>
              <w:pStyle w:val="Compact"/>
              <w:jc w:val="left"/>
            </w:pPr>
            <w:r>
              <w:t xml:space="preserve">-0.5181</w:t>
            </w:r>
          </w:p>
        </w:tc>
        <w:tc>
          <w:p>
            <w:pPr>
              <w:pStyle w:val="Compact"/>
              <w:jc w:val="left"/>
            </w:pPr>
            <w:r>
              <w:t xml:space="preserve">-0.6007</w:t>
            </w:r>
          </w:p>
        </w:tc>
        <w:tc>
          <w:p>
            <w:pPr>
              <w:pStyle w:val="Compact"/>
              <w:jc w:val="left"/>
            </w:pPr>
            <w:r>
              <w:t xml:space="preserve">-0.5333</w:t>
            </w:r>
          </w:p>
        </w:tc>
        <w:tc>
          <w:p>
            <w:pPr>
              <w:pStyle w:val="Compact"/>
              <w:jc w:val="left"/>
            </w:pPr>
            <w:r>
              <w:t xml:space="preserve">-0.5003</w:t>
            </w:r>
          </w:p>
        </w:tc>
        <w:tc>
          <w:p>
            <w:pPr>
              <w:pStyle w:val="Compact"/>
              <w:jc w:val="left"/>
            </w:pPr>
            <w:r>
              <w:t xml:space="preserve">-0.5936</w:t>
            </w:r>
          </w:p>
        </w:tc>
        <w:tc>
          <w:p>
            <w:pPr>
              <w:pStyle w:val="Compact"/>
              <w:jc w:val="left"/>
            </w:pPr>
            <w:r>
              <w:t xml:space="preserve">-0.8206</w:t>
            </w:r>
          </w:p>
        </w:tc>
      </w:tr>
      <w:tr>
        <w:tc>
          <w:p>
            <w:pPr>
              <w:pStyle w:val="Compact"/>
              <w:jc w:val="left"/>
            </w:pPr>
            <w:r>
              <w:t xml:space="preserve">97.5th CI for inc. QALY</w:t>
            </w:r>
          </w:p>
        </w:tc>
        <w:tc>
          <w:p>
            <w:pPr>
              <w:pStyle w:val="Compact"/>
              <w:jc w:val="left"/>
            </w:pPr>
            <w:r>
              <w:t xml:space="preserve">-0.08301</w:t>
            </w:r>
          </w:p>
        </w:tc>
        <w:tc>
          <w:p>
            <w:pPr>
              <w:pStyle w:val="Compact"/>
              <w:jc w:val="left"/>
            </w:pPr>
            <w:r>
              <w:t xml:space="preserve">-0.20522</w:t>
            </w:r>
          </w:p>
        </w:tc>
        <w:tc>
          <w:p>
            <w:pPr>
              <w:pStyle w:val="Compact"/>
              <w:jc w:val="left"/>
            </w:pPr>
            <w:r>
              <w:t xml:space="preserve">0.18090</w:t>
            </w:r>
          </w:p>
        </w:tc>
        <w:tc>
          <w:p>
            <w:pPr>
              <w:pStyle w:val="Compact"/>
              <w:jc w:val="left"/>
            </w:pPr>
            <w:r>
              <w:t xml:space="preserve">-0.02523</w:t>
            </w:r>
          </w:p>
        </w:tc>
        <w:tc>
          <w:p>
            <w:pPr>
              <w:pStyle w:val="Compact"/>
              <w:jc w:val="left"/>
            </w:pPr>
            <w:r>
              <w:t xml:space="preserve">-0.18547</w:t>
            </w:r>
          </w:p>
        </w:tc>
        <w:tc>
          <w:p>
            <w:pPr>
              <w:pStyle w:val="Compact"/>
              <w:jc w:val="left"/>
            </w:pPr>
            <w:r>
              <w:t xml:space="preserve">-0.25983</w:t>
            </w:r>
          </w:p>
        </w:tc>
        <w:tc>
          <w:p>
            <w:pPr>
              <w:pStyle w:val="Compact"/>
              <w:jc w:val="left"/>
            </w:pPr>
            <w:r>
              <w:t xml:space="preserve">-0.23212</w:t>
            </w:r>
          </w:p>
        </w:tc>
        <w:tc>
          <w:p>
            <w:pPr>
              <w:pStyle w:val="Compact"/>
              <w:jc w:val="left"/>
            </w:pPr>
            <w:r>
              <w:t xml:space="preserve">-0.24157</w:t>
            </w:r>
          </w:p>
        </w:tc>
        <w:tc>
          <w:p>
            <w:pPr>
              <w:pStyle w:val="Compact"/>
              <w:jc w:val="left"/>
            </w:pPr>
            <w:r>
              <w:t xml:space="preserve">-0.25523</w:t>
            </w:r>
          </w:p>
        </w:tc>
        <w:tc>
          <w:p>
            <w:pPr>
              <w:pStyle w:val="Compact"/>
              <w:jc w:val="left"/>
            </w:pPr>
            <w:r>
              <w:t xml:space="preserve">-0.22714</w:t>
            </w:r>
          </w:p>
        </w:tc>
        <w:tc>
          <w:p>
            <w:pPr>
              <w:pStyle w:val="Compact"/>
              <w:jc w:val="left"/>
            </w:pPr>
            <w:r>
              <w:t xml:space="preserve">-0.23750</w:t>
            </w:r>
          </w:p>
        </w:tc>
        <w:tc>
          <w:p>
            <w:pPr>
              <w:pStyle w:val="Compact"/>
              <w:jc w:val="left"/>
            </w:pPr>
            <w:r>
              <w:t xml:space="preserve">-0.36578</w:t>
            </w:r>
          </w:p>
        </w:tc>
      </w:tr>
      <w:tr>
        <w:tc>
          <w:p>
            <w:pPr>
              <w:pStyle w:val="Compact"/>
              <w:jc w:val="left"/>
            </w:pPr>
            <w:r>
              <w:t xml:space="preserve">2.5th CI for inc. Costs ( £ )</w:t>
            </w:r>
          </w:p>
        </w:tc>
        <w:tc>
          <w:p>
            <w:pPr>
              <w:pStyle w:val="Compact"/>
              <w:jc w:val="left"/>
            </w:pPr>
            <w:r>
              <w:t xml:space="preserve">-446.93</w:t>
            </w:r>
          </w:p>
        </w:tc>
        <w:tc>
          <w:p>
            <w:pPr>
              <w:pStyle w:val="Compact"/>
              <w:jc w:val="left"/>
            </w:pPr>
            <w:r>
              <w:t xml:space="preserve">-768.66</w:t>
            </w:r>
          </w:p>
        </w:tc>
        <w:tc>
          <w:p>
            <w:pPr>
              <w:pStyle w:val="Compact"/>
              <w:jc w:val="left"/>
            </w:pPr>
            <w:r>
              <w:t xml:space="preserve">-452.40</w:t>
            </w:r>
          </w:p>
        </w:tc>
        <w:tc>
          <w:p>
            <w:pPr>
              <w:pStyle w:val="Compact"/>
              <w:jc w:val="left"/>
            </w:pPr>
            <w:r>
              <w:t xml:space="preserve">-397.75</w:t>
            </w:r>
          </w:p>
        </w:tc>
        <w:tc>
          <w:p>
            <w:pPr>
              <w:pStyle w:val="Compact"/>
              <w:jc w:val="left"/>
            </w:pPr>
            <w:r>
              <w:t xml:space="preserve">-613.04</w:t>
            </w:r>
          </w:p>
        </w:tc>
        <w:tc>
          <w:p>
            <w:pPr>
              <w:pStyle w:val="Compact"/>
              <w:jc w:val="left"/>
            </w:pPr>
            <w:r>
              <w:t xml:space="preserve">-749.60</w:t>
            </w:r>
          </w:p>
        </w:tc>
        <w:tc>
          <w:p>
            <w:pPr>
              <w:pStyle w:val="Compact"/>
              <w:jc w:val="left"/>
            </w:pPr>
            <w:r>
              <w:t xml:space="preserve">-770.15</w:t>
            </w:r>
          </w:p>
        </w:tc>
        <w:tc>
          <w:p>
            <w:pPr>
              <w:pStyle w:val="Compact"/>
              <w:jc w:val="left"/>
            </w:pPr>
            <w:r>
              <w:t xml:space="preserve">-824.53</w:t>
            </w:r>
          </w:p>
        </w:tc>
        <w:tc>
          <w:p>
            <w:pPr>
              <w:pStyle w:val="Compact"/>
              <w:jc w:val="left"/>
            </w:pPr>
            <w:r>
              <w:t xml:space="preserve">-666.03</w:t>
            </w:r>
          </w:p>
        </w:tc>
        <w:tc>
          <w:p>
            <w:pPr>
              <w:pStyle w:val="Compact"/>
              <w:jc w:val="left"/>
            </w:pPr>
            <w:r>
              <w:t xml:space="preserve">-693.90</w:t>
            </w:r>
          </w:p>
        </w:tc>
        <w:tc>
          <w:p>
            <w:pPr>
              <w:pStyle w:val="Compact"/>
              <w:jc w:val="left"/>
            </w:pPr>
            <w:r>
              <w:t xml:space="preserve">-780.54</w:t>
            </w:r>
          </w:p>
        </w:tc>
        <w:tc>
          <w:p>
            <w:pPr>
              <w:pStyle w:val="Compact"/>
              <w:jc w:val="left"/>
            </w:pPr>
            <w:r>
              <w:t xml:space="preserve">-1106.13</w:t>
            </w:r>
          </w:p>
        </w:tc>
      </w:tr>
      <w:tr>
        <w:tc>
          <w:p>
            <w:pPr>
              <w:pStyle w:val="Compact"/>
              <w:jc w:val="left"/>
            </w:pPr>
            <w:r>
              <w:t xml:space="preserve">97.5th CI for inc. Costs ( £ )</w:t>
            </w:r>
          </w:p>
        </w:tc>
        <w:tc>
          <w:p>
            <w:pPr>
              <w:pStyle w:val="Compact"/>
              <w:jc w:val="left"/>
            </w:pPr>
            <w:r>
              <w:t xml:space="preserve">13.74</w:t>
            </w:r>
          </w:p>
        </w:tc>
        <w:tc>
          <w:p>
            <w:pPr>
              <w:pStyle w:val="Compact"/>
              <w:jc w:val="left"/>
            </w:pPr>
            <w:r>
              <w:t xml:space="preserve">252.21</w:t>
            </w:r>
          </w:p>
        </w:tc>
        <w:tc>
          <w:p>
            <w:pPr>
              <w:pStyle w:val="Compact"/>
              <w:jc w:val="left"/>
            </w:pPr>
            <w:r>
              <w:t xml:space="preserve">883.68</w:t>
            </w:r>
          </w:p>
        </w:tc>
        <w:tc>
          <w:p>
            <w:pPr>
              <w:pStyle w:val="Compact"/>
              <w:jc w:val="left"/>
            </w:pPr>
            <w:r>
              <w:t xml:space="preserve">94.82</w:t>
            </w:r>
          </w:p>
        </w:tc>
        <w:tc>
          <w:p>
            <w:pPr>
              <w:pStyle w:val="Compact"/>
              <w:jc w:val="left"/>
            </w:pPr>
            <w:r>
              <w:t xml:space="preserve">135.40</w:t>
            </w:r>
          </w:p>
        </w:tc>
        <w:tc>
          <w:p>
            <w:pPr>
              <w:pStyle w:val="Compact"/>
              <w:jc w:val="left"/>
            </w:pPr>
            <w:r>
              <w:t xml:space="preserve">551.51</w:t>
            </w:r>
          </w:p>
        </w:tc>
        <w:tc>
          <w:p>
            <w:pPr>
              <w:pStyle w:val="Compact"/>
              <w:jc w:val="left"/>
            </w:pPr>
            <w:r>
              <w:t xml:space="preserve">382.59</w:t>
            </w:r>
          </w:p>
        </w:tc>
        <w:tc>
          <w:p>
            <w:pPr>
              <w:pStyle w:val="Compact"/>
              <w:jc w:val="left"/>
            </w:pPr>
            <w:r>
              <w:t xml:space="preserve">326.47</w:t>
            </w:r>
          </w:p>
        </w:tc>
        <w:tc>
          <w:p>
            <w:pPr>
              <w:pStyle w:val="Compact"/>
              <w:jc w:val="left"/>
            </w:pPr>
            <w:r>
              <w:t xml:space="preserve">516.85</w:t>
            </w:r>
          </w:p>
        </w:tc>
        <w:tc>
          <w:p>
            <w:pPr>
              <w:pStyle w:val="Compact"/>
              <w:jc w:val="left"/>
            </w:pPr>
            <w:r>
              <w:t xml:space="preserve">314.90</w:t>
            </w:r>
          </w:p>
        </w:tc>
        <w:tc>
          <w:p>
            <w:pPr>
              <w:pStyle w:val="Compact"/>
              <w:jc w:val="left"/>
            </w:pPr>
            <w:r>
              <w:t xml:space="preserve">298.06</w:t>
            </w:r>
          </w:p>
        </w:tc>
        <w:tc>
          <w:p>
            <w:pPr>
              <w:pStyle w:val="Compact"/>
              <w:jc w:val="left"/>
            </w:pPr>
            <w:r>
              <w:t xml:space="preserve">772.34</w:t>
            </w:r>
          </w:p>
        </w:tc>
      </w:tr>
      <w:tr>
        <w:tc>
          <w:p>
            <w:pPr>
              <w:pStyle w:val="Compact"/>
              <w:jc w:val="left"/>
            </w:pPr>
            <w:r>
              <w:t xml:space="preserve">Probability cost saving</w:t>
            </w:r>
          </w:p>
        </w:tc>
        <w:tc>
          <w:p>
            <w:pPr>
              <w:pStyle w:val="Compact"/>
              <w:jc w:val="left"/>
            </w:pPr>
            <w:r>
              <w:t xml:space="preserve">0.030</w:t>
            </w:r>
          </w:p>
        </w:tc>
        <w:tc>
          <w:p>
            <w:pPr>
              <w:pStyle w:val="Compact"/>
              <w:jc w:val="left"/>
            </w:pPr>
            <w:r>
              <w:t xml:space="preserve">0.116</w:t>
            </w:r>
          </w:p>
        </w:tc>
        <w:tc>
          <w:p>
            <w:pPr>
              <w:pStyle w:val="Compact"/>
              <w:jc w:val="left"/>
            </w:pPr>
            <w:r>
              <w:t xml:space="preserve">0.823</w:t>
            </w:r>
          </w:p>
        </w:tc>
        <w:tc>
          <w:p>
            <w:pPr>
              <w:pStyle w:val="Compact"/>
              <w:jc w:val="left"/>
            </w:pPr>
            <w:r>
              <w:t xml:space="preserve">0.140</w:t>
            </w:r>
          </w:p>
        </w:tc>
        <w:tc>
          <w:p>
            <w:pPr>
              <w:pStyle w:val="Compact"/>
              <w:jc w:val="left"/>
            </w:pPr>
            <w:r>
              <w:t xml:space="preserve">0.071</w:t>
            </w:r>
          </w:p>
        </w:tc>
        <w:tc>
          <w:p>
            <w:pPr>
              <w:pStyle w:val="Compact"/>
              <w:jc w:val="left"/>
            </w:pPr>
            <w:r>
              <w:t xml:space="preserve">0.317</w:t>
            </w:r>
          </w:p>
        </w:tc>
        <w:tc>
          <w:p>
            <w:pPr>
              <w:pStyle w:val="Compact"/>
              <w:jc w:val="left"/>
            </w:pPr>
            <w:r>
              <w:t xml:space="preserve">0.197</w:t>
            </w:r>
          </w:p>
        </w:tc>
        <w:tc>
          <w:p>
            <w:pPr>
              <w:pStyle w:val="Compact"/>
              <w:jc w:val="left"/>
            </w:pPr>
            <w:r>
              <w:t xml:space="preserve">0.146</w:t>
            </w:r>
          </w:p>
        </w:tc>
        <w:tc>
          <w:p>
            <w:pPr>
              <w:pStyle w:val="Compact"/>
              <w:jc w:val="left"/>
            </w:pPr>
            <w:r>
              <w:t xml:space="preserve">0.346</w:t>
            </w:r>
          </w:p>
        </w:tc>
        <w:tc>
          <w:p>
            <w:pPr>
              <w:pStyle w:val="Compact"/>
              <w:jc w:val="left"/>
            </w:pPr>
            <w:r>
              <w:t xml:space="preserve">0.189</w:t>
            </w:r>
          </w:p>
        </w:tc>
        <w:tc>
          <w:p>
            <w:pPr>
              <w:pStyle w:val="Compact"/>
              <w:jc w:val="left"/>
            </w:pPr>
            <w:r>
              <w:t xml:space="preserve">0.135</w:t>
            </w:r>
          </w:p>
        </w:tc>
        <w:tc>
          <w:p>
            <w:pPr>
              <w:pStyle w:val="Compact"/>
              <w:jc w:val="left"/>
            </w:pPr>
            <w:r>
              <w:t xml:space="preserve">0.292</w:t>
            </w:r>
          </w:p>
        </w:tc>
      </w:tr>
      <w:tr>
        <w:tc>
          <w:p>
            <w:pPr>
              <w:pStyle w:val="Compact"/>
              <w:jc w:val="left"/>
            </w:pPr>
            <w:r>
              <w:t xml:space="preserve">Probability more benefit</w:t>
            </w:r>
          </w:p>
        </w:tc>
        <w:tc>
          <w:p>
            <w:pPr>
              <w:pStyle w:val="Compact"/>
              <w:jc w:val="left"/>
            </w:pPr>
            <w:r>
              <w:t xml:space="preserve">0.000</w:t>
            </w:r>
          </w:p>
        </w:tc>
        <w:tc>
          <w:p>
            <w:pPr>
              <w:pStyle w:val="Compact"/>
              <w:jc w:val="left"/>
            </w:pPr>
            <w:r>
              <w:t xml:space="preserve">0.000</w:t>
            </w:r>
          </w:p>
        </w:tc>
        <w:tc>
          <w:p>
            <w:pPr>
              <w:pStyle w:val="Compact"/>
              <w:jc w:val="left"/>
            </w:pPr>
            <w:r>
              <w:t xml:space="preserve">1.000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r>
      <w:tr>
        <w:tc>
          <w:p>
            <w:pPr>
              <w:pStyle w:val="Compact"/>
              <w:jc w:val="left"/>
            </w:pPr>
            <w:r>
              <w:t xml:space="preserve">Probability cost-effective</w:t>
            </w:r>
          </w:p>
        </w:tc>
        <w:tc>
          <w:p>
            <w:pPr>
              <w:pStyle w:val="Compact"/>
              <w:jc w:val="left"/>
            </w:pPr>
            <w:r>
              <w:t xml:space="preserve">0.766</w:t>
            </w:r>
          </w:p>
        </w:tc>
        <w:tc>
          <w:p>
            <w:pPr>
              <w:pStyle w:val="Compact"/>
              <w:jc w:val="left"/>
            </w:pPr>
            <w:r>
              <w:t xml:space="preserve">0.534</w:t>
            </w:r>
          </w:p>
        </w:tc>
        <w:tc>
          <w:p>
            <w:pPr>
              <w:pStyle w:val="Compact"/>
              <w:jc w:val="left"/>
            </w:pPr>
            <w:r>
              <w:t xml:space="preserve">0.277</w:t>
            </w:r>
          </w:p>
        </w:tc>
        <w:tc>
          <w:p>
            <w:pPr>
              <w:pStyle w:val="Compact"/>
              <w:jc w:val="left"/>
            </w:pPr>
            <w:r>
              <w:t xml:space="preserve">0.759</w:t>
            </w:r>
          </w:p>
        </w:tc>
        <w:tc>
          <w:p>
            <w:pPr>
              <w:pStyle w:val="Compact"/>
              <w:jc w:val="left"/>
            </w:pPr>
            <w:r>
              <w:t xml:space="preserve">0.548</w:t>
            </w:r>
          </w:p>
        </w:tc>
        <w:tc>
          <w:p>
            <w:pPr>
              <w:pStyle w:val="Compact"/>
              <w:jc w:val="left"/>
            </w:pPr>
            <w:r>
              <w:t xml:space="preserve">0.332</w:t>
            </w:r>
          </w:p>
        </w:tc>
        <w:tc>
          <w:p>
            <w:pPr>
              <w:pStyle w:val="Compact"/>
              <w:jc w:val="left"/>
            </w:pPr>
            <w:r>
              <w:t xml:space="preserve">0.432</w:t>
            </w:r>
          </w:p>
        </w:tc>
        <w:tc>
          <w:p>
            <w:pPr>
              <w:pStyle w:val="Compact"/>
              <w:jc w:val="left"/>
            </w:pPr>
            <w:r>
              <w:t xml:space="preserve">0.473</w:t>
            </w:r>
          </w:p>
        </w:tc>
        <w:tc>
          <w:p>
            <w:pPr>
              <w:pStyle w:val="Compact"/>
              <w:jc w:val="left"/>
            </w:pPr>
            <w:r>
              <w:t xml:space="preserve">0.289</w:t>
            </w:r>
          </w:p>
        </w:tc>
        <w:tc>
          <w:p>
            <w:pPr>
              <w:pStyle w:val="Compact"/>
              <w:jc w:val="left"/>
            </w:pPr>
            <w:r>
              <w:t xml:space="preserve">0.414</w:t>
            </w:r>
          </w:p>
        </w:tc>
        <w:tc>
          <w:p>
            <w:pPr>
              <w:pStyle w:val="Compact"/>
              <w:jc w:val="left"/>
            </w:pPr>
            <w:r>
              <w:t xml:space="preserve">0.464</w:t>
            </w:r>
          </w:p>
        </w:tc>
        <w:tc>
          <w:p>
            <w:pPr>
              <w:pStyle w:val="Compact"/>
              <w:jc w:val="left"/>
            </w:pPr>
            <w:r>
              <w:t xml:space="preserve">0.365</w:t>
            </w:r>
          </w:p>
        </w:tc>
      </w:tr>
    </w:tbl>
    <w:bookmarkStart w:id="24" w:name="cost-effectiveness-plane"/>
    <w:p>
      <w:pPr>
        <w:pStyle w:val="Heading2"/>
      </w:pPr>
      <w:r>
        <w:t xml:space="preserve">2.2 Cost-Effectiveness Plane</w:t>
      </w:r>
    </w:p>
    <w:bookmarkEnd w:id="24"/>
    <w:p>
      <w:r>
        <w:t xml:space="preserve">The cost-effectiveness plane shows the standardised cost-effectiveness plane per person based on 1000 model runs in which uncertain model parameters are varied simultaneously in a probabilistic sensitivity analysis. The mean incremental cost of X2 versus X1 is £ -265.05. There is some uncertainty due to model parameters, with the 95% credible interval for the incremental cost ranging from (£ -446.93 , £ 13.74). The probability that X2 is cost saving compared to X1 is 0.030. The mean incremental benefit of X2 versus Intervention 0 is -0.1564 QALY . This suggests that X2 is more/or less beneficial. Again, there is some uncertainty due to model parameters, with the 95% credible interval for the incremental benefit ranging from (-0.2575 QALY , -0.08301 QALY). The probability that X2 is more beneficial compared to X1 is 0.000.</w:t>
      </w:r>
    </w:p>
    <w:p>
      <w:r>
        <w:t xml:space="preserve">The incremental expected cost per unit of benefit is estimated at £ 1694.48 per QALY. This is above/below the threshold of £ 1000 per QALY that X2 would (not) be considered cost-effective at this threshold. There is uncertainty with a 0.766 probability that X2 is more cost-effective (77 % of the probabilistic model run dots are below and to the right of the diagonal thresholdline).</w:t>
      </w:r>
    </w:p>
    <w:p>
      <w:r>
        <w:drawing>
          <wp:inline>
            <wp:extent cx="4610100" cy="3695700"/>
            <wp:effectExtent b="0" l="0" r="0" t="0"/>
            <wp:docPr descr=""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See section 5.1 in Briggs, Claxton, Sculpher. Decision Modelling for Health Economic Evaluation (Handbooks for Health Economic Evaluation). OUP Oxford; 1 edition (17 Aug 2006). ISBN-13: 978-0198526629</w:t>
      </w:r>
    </w:p>
    <w:bookmarkStart w:id="26" w:name="the-cost-effectiveness-acceptability-curve"/>
    <w:p>
      <w:pPr>
        <w:pStyle w:val="Heading2"/>
      </w:pPr>
      <w:r>
        <w:t xml:space="preserve">2.3 The Cost-Effectiveness Acceptability Curve</w:t>
      </w:r>
    </w:p>
    <w:bookmarkEnd w:id="26"/>
    <w:p>
      <w:r>
        <w:t xml:space="preserve">The Cost-Effectiveness Acceptability Curve (CEAC) shows the probability that all strategies are cost-effective at varying thresholds. The results show that at a threshold value for cost-effectiveness of £ 1000 per QALY, the strategy with the highest probability of being most cost-effective is X5, with a probability of 0.281.</w:t>
      </w:r>
    </w:p>
    <w:p>
      <w:r>
        <w:drawing>
          <wp:inline>
            <wp:extent cx="4610100" cy="3695700"/>
            <wp:effectExtent b="0" l="0" r="0" t="0"/>
            <wp:docPr descr=""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details for how to interpret CEACs are available from the literature</w:t>
      </w:r>
    </w:p>
    <w:p>
      <w:r>
        <w:t xml:space="preserve">Fenwick &amp; Byford. (2005) A guide to cost-effectiveness acceptability curves. The British Journal of Psychiatry. 187: 106-108.</w:t>
      </w:r>
    </w:p>
    <w:bookmarkStart w:id="28" w:name="net-benefit-of-each-strategy"/>
    <w:p>
      <w:pPr>
        <w:pStyle w:val="Heading2"/>
      </w:pPr>
      <w:r>
        <w:t xml:space="preserve">2.4 Net Benefit of Each Strategy</w:t>
      </w:r>
    </w:p>
    <w:bookmarkEnd w:id="28"/>
    <w:bookmarkStart w:id="29" w:name="absolute-net-benefit"/>
    <w:p>
      <w:pPr>
        <w:pStyle w:val="Heading2"/>
      </w:pPr>
      <w:r>
        <w:t xml:space="preserve">2.4.1 Absolute Net Benefit</w:t>
      </w:r>
    </w:p>
    <w:bookmarkEnd w:id="29"/>
    <w:p>
      <w:r>
        <w:t xml:space="preserve">Net benefit (NB) is a calculation to put the costs and the QALYs onto the same scale. This is done by calculating the monetary value of the QALYs using a simple multiplication i.e. QALYs * lambda=£ 1000 per QALY, where</w:t>
      </w:r>
    </w:p>
    <w:p>
      <w:r>
        <w:t xml:space="preserve">This is particularly useful when comparing several strategies because the analyst and decision maker can see in one single measure the expected net value of each strategy, rather than looking at many comparisons of incremental cost-effectiveness ratios between different options. Under the rules of decision theory, the strategy with the highest expected net benefit is the one which a decision maker would choose as the optimal startegy.</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c>
          <w:tcPr>
            <w:tcBorders>
              <w:bottom w:val="single"/>
            </w:tcBorders>
            <w:vAlign w:val="bottom"/>
          </w:tcPr>
          <w:p>
            <w:pPr>
              <w:pStyle w:val="Compact"/>
              <w:jc w:val="left"/>
            </w:pPr>
            <w:r>
              <w:t xml:space="preserve">X6</w:t>
            </w:r>
          </w:p>
        </w:tc>
        <w:tc>
          <w:tcPr>
            <w:tcBorders>
              <w:bottom w:val="single"/>
            </w:tcBorders>
            <w:vAlign w:val="bottom"/>
          </w:tcPr>
          <w:p>
            <w:pPr>
              <w:pStyle w:val="Compact"/>
              <w:jc w:val="left"/>
            </w:pPr>
            <w:r>
              <w:t xml:space="preserve">X7</w:t>
            </w:r>
          </w:p>
        </w:tc>
        <w:tc>
          <w:tcPr>
            <w:tcBorders>
              <w:bottom w:val="single"/>
            </w:tcBorders>
            <w:vAlign w:val="bottom"/>
          </w:tcPr>
          <w:p>
            <w:pPr>
              <w:pStyle w:val="Compact"/>
              <w:jc w:val="left"/>
            </w:pPr>
            <w:r>
              <w:t xml:space="preserve">X8</w:t>
            </w:r>
          </w:p>
        </w:tc>
        <w:tc>
          <w:tcPr>
            <w:tcBorders>
              <w:bottom w:val="single"/>
            </w:tcBorders>
            <w:vAlign w:val="bottom"/>
          </w:tcPr>
          <w:p>
            <w:pPr>
              <w:pStyle w:val="Compact"/>
              <w:jc w:val="left"/>
            </w:pPr>
            <w:r>
              <w:t xml:space="preserve">X9</w:t>
            </w:r>
          </w:p>
        </w:tc>
        <w:tc>
          <w:tcPr>
            <w:tcBorders>
              <w:bottom w:val="single"/>
            </w:tcBorders>
            <w:vAlign w:val="bottom"/>
          </w:tcPr>
          <w:p>
            <w:pPr>
              <w:pStyle w:val="Compact"/>
              <w:jc w:val="left"/>
            </w:pPr>
            <w:r>
              <w:t xml:space="preserve">X10</w:t>
            </w:r>
          </w:p>
        </w:tc>
        <w:tc>
          <w:tcPr>
            <w:tcBorders>
              <w:bottom w:val="single"/>
            </w:tcBorders>
            <w:vAlign w:val="bottom"/>
          </w:tcPr>
          <w:p>
            <w:pPr>
              <w:pStyle w:val="Compact"/>
              <w:jc w:val="left"/>
            </w:pPr>
            <w:r>
              <w:t xml:space="preserve">X11</w:t>
            </w:r>
          </w:p>
        </w:tc>
        <w:tc>
          <w:tcPr>
            <w:tcBorders>
              <w:bottom w:val="single"/>
            </w:tcBorders>
            <w:vAlign w:val="bottom"/>
          </w:tcPr>
          <w:p>
            <w:pPr>
              <w:pStyle w:val="Compact"/>
              <w:jc w:val="left"/>
            </w:pPr>
            <w:r>
              <w:t xml:space="preserve">X12</w:t>
            </w:r>
          </w:p>
        </w:tc>
        <w:tc>
          <w:tcPr>
            <w:tcBorders>
              <w:bottom w:val="single"/>
            </w:tcBorders>
            <w:vAlign w:val="bottom"/>
          </w:tcPr>
          <w:p>
            <w:pPr>
              <w:pStyle w:val="Compact"/>
              <w:jc w:val="left"/>
            </w:pPr>
            <w:r>
              <w:t xml:space="preserve">X13</w:t>
            </w:r>
          </w:p>
        </w:tc>
      </w:tr>
      <w:tr>
        <w:tc>
          <w:p>
            <w:pPr>
              <w:pStyle w:val="Compact"/>
              <w:jc w:val="left"/>
            </w:pPr>
            <w:r>
              <w:t xml:space="preserve">Mean QALYs</w:t>
            </w:r>
          </w:p>
        </w:tc>
        <w:tc>
          <w:p>
            <w:pPr>
              <w:pStyle w:val="Compact"/>
              <w:jc w:val="left"/>
            </w:pPr>
            <w:r>
              <w:t xml:space="preserve">9.5383</w:t>
            </w:r>
          </w:p>
        </w:tc>
        <w:tc>
          <w:p>
            <w:pPr>
              <w:pStyle w:val="Compact"/>
              <w:jc w:val="left"/>
            </w:pPr>
            <w:r>
              <w:t xml:space="preserve">9.3818</w:t>
            </w:r>
          </w:p>
        </w:tc>
        <w:tc>
          <w:p>
            <w:pPr>
              <w:pStyle w:val="Compact"/>
              <w:jc w:val="left"/>
            </w:pPr>
            <w:r>
              <w:t xml:space="preserve">9.1754</w:t>
            </w:r>
          </w:p>
        </w:tc>
        <w:tc>
          <w:p>
            <w:pPr>
              <w:pStyle w:val="Compact"/>
              <w:jc w:val="left"/>
            </w:pPr>
            <w:r>
              <w:t xml:space="preserve">9.6605</w:t>
            </w:r>
          </w:p>
        </w:tc>
        <w:tc>
          <w:p>
            <w:pPr>
              <w:pStyle w:val="Compact"/>
              <w:jc w:val="left"/>
            </w:pPr>
            <w:r>
              <w:t xml:space="preserve">9.4651</w:t>
            </w:r>
          </w:p>
        </w:tc>
        <w:tc>
          <w:p>
            <w:pPr>
              <w:pStyle w:val="Compact"/>
              <w:jc w:val="left"/>
            </w:pPr>
            <w:r>
              <w:t xml:space="preserve">9.2000</w:t>
            </w:r>
          </w:p>
        </w:tc>
        <w:tc>
          <w:p>
            <w:pPr>
              <w:pStyle w:val="Compact"/>
              <w:jc w:val="left"/>
            </w:pPr>
            <w:r>
              <w:t xml:space="preserve">9.1309</w:t>
            </w:r>
          </w:p>
        </w:tc>
        <w:tc>
          <w:p>
            <w:pPr>
              <w:pStyle w:val="Compact"/>
              <w:jc w:val="left"/>
            </w:pPr>
            <w:r>
              <w:t xml:space="preserve">9.1663</w:t>
            </w:r>
          </w:p>
        </w:tc>
        <w:tc>
          <w:p>
            <w:pPr>
              <w:pStyle w:val="Compact"/>
              <w:jc w:val="left"/>
            </w:pPr>
            <w:r>
              <w:t xml:space="preserve">9.1331</w:t>
            </w:r>
          </w:p>
        </w:tc>
        <w:tc>
          <w:p>
            <w:pPr>
              <w:pStyle w:val="Compact"/>
              <w:jc w:val="left"/>
            </w:pPr>
            <w:r>
              <w:t xml:space="preserve">9.1423</w:t>
            </w:r>
          </w:p>
        </w:tc>
        <w:tc>
          <w:p>
            <w:pPr>
              <w:pStyle w:val="Compact"/>
              <w:jc w:val="left"/>
            </w:pPr>
            <w:r>
              <w:t xml:space="preserve">9.1766</w:t>
            </w:r>
          </w:p>
        </w:tc>
        <w:tc>
          <w:p>
            <w:pPr>
              <w:pStyle w:val="Compact"/>
              <w:jc w:val="left"/>
            </w:pPr>
            <w:r>
              <w:t xml:space="preserve">9.1369</w:t>
            </w:r>
          </w:p>
        </w:tc>
        <w:tc>
          <w:p>
            <w:pPr>
              <w:pStyle w:val="Compact"/>
              <w:jc w:val="left"/>
            </w:pPr>
            <w:r>
              <w:t xml:space="preserve">8.9528</w:t>
            </w:r>
          </w:p>
        </w:tc>
      </w:tr>
      <w:tr>
        <w:tc>
          <w:p>
            <w:pPr>
              <w:pStyle w:val="Compact"/>
              <w:jc w:val="left"/>
            </w:pPr>
            <w:r>
              <w:t xml:space="preserve">Mean Costs (£)</w:t>
            </w:r>
          </w:p>
        </w:tc>
        <w:tc>
          <w:p>
            <w:pPr>
              <w:pStyle w:val="Compact"/>
              <w:jc w:val="left"/>
            </w:pPr>
            <w:r>
              <w:t xml:space="preserve">3370.19</w:t>
            </w:r>
          </w:p>
        </w:tc>
        <w:tc>
          <w:p>
            <w:pPr>
              <w:pStyle w:val="Compact"/>
              <w:jc w:val="left"/>
            </w:pPr>
            <w:r>
              <w:t xml:space="preserve">3105.14</w:t>
            </w:r>
          </w:p>
        </w:tc>
        <w:tc>
          <w:p>
            <w:pPr>
              <w:pStyle w:val="Compact"/>
              <w:jc w:val="left"/>
            </w:pPr>
            <w:r>
              <w:t xml:space="preserve">3017.85</w:t>
            </w:r>
          </w:p>
        </w:tc>
        <w:tc>
          <w:p>
            <w:pPr>
              <w:pStyle w:val="Compact"/>
              <w:jc w:val="left"/>
            </w:pPr>
            <w:r>
              <w:t xml:space="preserve">3706.20</w:t>
            </w:r>
          </w:p>
        </w:tc>
        <w:tc>
          <w:p>
            <w:pPr>
              <w:pStyle w:val="Compact"/>
              <w:jc w:val="left"/>
            </w:pPr>
            <w:r>
              <w:t xml:space="preserve">3217.98</w:t>
            </w:r>
          </w:p>
        </w:tc>
        <w:tc>
          <w:p>
            <w:pPr>
              <w:pStyle w:val="Compact"/>
              <w:jc w:val="left"/>
            </w:pPr>
            <w:r>
              <w:t xml:space="preserve">3039.09</w:t>
            </w:r>
          </w:p>
        </w:tc>
        <w:tc>
          <w:p>
            <w:pPr>
              <w:pStyle w:val="Compact"/>
              <w:jc w:val="left"/>
            </w:pPr>
            <w:r>
              <w:t xml:space="preserve">3196.36</w:t>
            </w:r>
          </w:p>
        </w:tc>
        <w:tc>
          <w:p>
            <w:pPr>
              <w:pStyle w:val="Compact"/>
              <w:jc w:val="left"/>
            </w:pPr>
            <w:r>
              <w:t xml:space="preserve">3105.97</w:t>
            </w:r>
          </w:p>
        </w:tc>
        <w:tc>
          <w:p>
            <w:pPr>
              <w:pStyle w:val="Compact"/>
              <w:jc w:val="left"/>
            </w:pPr>
            <w:r>
              <w:t xml:space="preserve">3030.51</w:t>
            </w:r>
          </w:p>
        </w:tc>
        <w:tc>
          <w:p>
            <w:pPr>
              <w:pStyle w:val="Compact"/>
              <w:jc w:val="left"/>
            </w:pPr>
            <w:r>
              <w:t xml:space="preserve">3234.91</w:t>
            </w:r>
          </w:p>
        </w:tc>
        <w:tc>
          <w:p>
            <w:pPr>
              <w:pStyle w:val="Compact"/>
              <w:jc w:val="left"/>
            </w:pPr>
            <w:r>
              <w:t xml:space="preserve">3128.43</w:t>
            </w:r>
          </w:p>
        </w:tc>
        <w:tc>
          <w:p>
            <w:pPr>
              <w:pStyle w:val="Compact"/>
              <w:jc w:val="left"/>
            </w:pPr>
            <w:r>
              <w:t xml:space="preserve">3040.33</w:t>
            </w:r>
          </w:p>
        </w:tc>
        <w:tc>
          <w:p>
            <w:pPr>
              <w:pStyle w:val="Compact"/>
              <w:jc w:val="left"/>
            </w:pPr>
            <w:r>
              <w:t xml:space="preserve">3083.16</w:t>
            </w:r>
          </w:p>
        </w:tc>
      </w:tr>
      <w:tr>
        <w:tc>
          <w:p>
            <w:pPr>
              <w:pStyle w:val="Compact"/>
              <w:jc w:val="left"/>
            </w:pPr>
            <w:r>
              <w:t xml:space="preserve">Expected Net Benefit at £ 1000 per QALY</w:t>
            </w:r>
          </w:p>
        </w:tc>
        <w:tc>
          <w:p>
            <w:pPr>
              <w:pStyle w:val="Compact"/>
              <w:jc w:val="left"/>
            </w:pPr>
            <w:r>
              <w:t xml:space="preserve">6168.07</w:t>
            </w:r>
          </w:p>
        </w:tc>
        <w:tc>
          <w:p>
            <w:pPr>
              <w:pStyle w:val="Compact"/>
              <w:jc w:val="left"/>
            </w:pPr>
            <w:r>
              <w:t xml:space="preserve">6276.71</w:t>
            </w:r>
          </w:p>
        </w:tc>
        <w:tc>
          <w:p>
            <w:pPr>
              <w:pStyle w:val="Compact"/>
              <w:jc w:val="left"/>
            </w:pPr>
            <w:r>
              <w:t xml:space="preserve">6157.54</w:t>
            </w:r>
          </w:p>
        </w:tc>
        <w:tc>
          <w:p>
            <w:pPr>
              <w:pStyle w:val="Compact"/>
              <w:jc w:val="left"/>
            </w:pPr>
            <w:r>
              <w:t xml:space="preserve">5954.34</w:t>
            </w:r>
          </w:p>
        </w:tc>
        <w:tc>
          <w:p>
            <w:pPr>
              <w:pStyle w:val="Compact"/>
              <w:jc w:val="left"/>
            </w:pPr>
            <w:r>
              <w:t xml:space="preserve">6247.10</w:t>
            </w:r>
          </w:p>
        </w:tc>
        <w:tc>
          <w:p>
            <w:pPr>
              <w:pStyle w:val="Compact"/>
              <w:jc w:val="left"/>
            </w:pPr>
            <w:r>
              <w:t xml:space="preserve">6160.93</w:t>
            </w:r>
          </w:p>
        </w:tc>
        <w:tc>
          <w:p>
            <w:pPr>
              <w:pStyle w:val="Compact"/>
              <w:jc w:val="left"/>
            </w:pPr>
            <w:r>
              <w:t xml:space="preserve">5934.54</w:t>
            </w:r>
          </w:p>
        </w:tc>
        <w:tc>
          <w:p>
            <w:pPr>
              <w:pStyle w:val="Compact"/>
              <w:jc w:val="left"/>
            </w:pPr>
            <w:r>
              <w:t xml:space="preserve">6060.28</w:t>
            </w:r>
          </w:p>
        </w:tc>
        <w:tc>
          <w:p>
            <w:pPr>
              <w:pStyle w:val="Compact"/>
              <w:jc w:val="left"/>
            </w:pPr>
            <w:r>
              <w:t xml:space="preserve">6102.56</w:t>
            </w:r>
          </w:p>
        </w:tc>
        <w:tc>
          <w:p>
            <w:pPr>
              <w:pStyle w:val="Compact"/>
              <w:jc w:val="left"/>
            </w:pPr>
            <w:r>
              <w:t xml:space="preserve">5907.40</w:t>
            </w:r>
          </w:p>
        </w:tc>
        <w:tc>
          <w:p>
            <w:pPr>
              <w:pStyle w:val="Compact"/>
              <w:jc w:val="left"/>
            </w:pPr>
            <w:r>
              <w:t xml:space="preserve">6048.15</w:t>
            </w:r>
          </w:p>
        </w:tc>
        <w:tc>
          <w:p>
            <w:pPr>
              <w:pStyle w:val="Compact"/>
              <w:jc w:val="left"/>
            </w:pPr>
            <w:r>
              <w:t xml:space="preserve">6096.55</w:t>
            </w:r>
          </w:p>
        </w:tc>
        <w:tc>
          <w:p>
            <w:pPr>
              <w:pStyle w:val="Compact"/>
              <w:jc w:val="left"/>
            </w:pPr>
            <w:r>
              <w:t xml:space="preserve">5869.66</w:t>
            </w:r>
          </w:p>
        </w:tc>
      </w:tr>
      <w:tr>
        <w:tc>
          <w:p>
            <w:pPr>
              <w:pStyle w:val="Compact"/>
              <w:jc w:val="left"/>
            </w:pPr>
            <w:r>
              <w:t xml:space="preserve">95% Lower CI (on Costs Scale)</w:t>
            </w:r>
          </w:p>
        </w:tc>
        <w:tc>
          <w:p>
            <w:pPr>
              <w:pStyle w:val="Compact"/>
              <w:jc w:val="left"/>
            </w:pPr>
            <w:r>
              <w:t xml:space="preserve">3066.77</w:t>
            </w:r>
          </w:p>
        </w:tc>
        <w:tc>
          <w:p>
            <w:pPr>
              <w:pStyle w:val="Compact"/>
              <w:jc w:val="left"/>
            </w:pPr>
            <w:r>
              <w:t xml:space="preserve">2784.67</w:t>
            </w:r>
          </w:p>
        </w:tc>
        <w:tc>
          <w:p>
            <w:pPr>
              <w:pStyle w:val="Compact"/>
              <w:jc w:val="left"/>
            </w:pPr>
            <w:r>
              <w:t xml:space="preserve">2259.79</w:t>
            </w:r>
          </w:p>
        </w:tc>
        <w:tc>
          <w:p>
            <w:pPr>
              <w:pStyle w:val="Compact"/>
              <w:jc w:val="left"/>
            </w:pPr>
            <w:r>
              <w:t xml:space="preserve">3639.75</w:t>
            </w:r>
          </w:p>
        </w:tc>
        <w:tc>
          <w:p>
            <w:pPr>
              <w:pStyle w:val="Compact"/>
              <w:jc w:val="left"/>
            </w:pPr>
            <w:r>
              <w:t xml:space="preserve">3346.74</w:t>
            </w:r>
          </w:p>
        </w:tc>
        <w:tc>
          <w:p>
            <w:pPr>
              <w:pStyle w:val="Compact"/>
              <w:jc w:val="left"/>
            </w:pPr>
            <w:r>
              <w:t xml:space="preserve">2393.06</w:t>
            </w:r>
          </w:p>
        </w:tc>
        <w:tc>
          <w:p>
            <w:pPr>
              <w:pStyle w:val="Compact"/>
              <w:jc w:val="left"/>
            </w:pPr>
            <w:r>
              <w:t xml:space="preserve">1983.84</w:t>
            </w:r>
          </w:p>
        </w:tc>
        <w:tc>
          <w:p>
            <w:pPr>
              <w:pStyle w:val="Compact"/>
              <w:jc w:val="left"/>
            </w:pPr>
            <w:r>
              <w:t xml:space="preserve">2158.63</w:t>
            </w:r>
          </w:p>
        </w:tc>
        <w:tc>
          <w:p>
            <w:pPr>
              <w:pStyle w:val="Compact"/>
              <w:jc w:val="left"/>
            </w:pPr>
            <w:r>
              <w:t xml:space="preserve">2162.94</w:t>
            </w:r>
          </w:p>
        </w:tc>
        <w:tc>
          <w:p>
            <w:pPr>
              <w:pStyle w:val="Compact"/>
              <w:jc w:val="left"/>
            </w:pPr>
            <w:r>
              <w:t xml:space="preserve">2021.43</w:t>
            </w:r>
          </w:p>
        </w:tc>
        <w:tc>
          <w:p>
            <w:pPr>
              <w:pStyle w:val="Compact"/>
              <w:jc w:val="left"/>
            </w:pPr>
            <w:r>
              <w:t xml:space="preserve">2266.50</w:t>
            </w:r>
          </w:p>
        </w:tc>
        <w:tc>
          <w:p>
            <w:pPr>
              <w:pStyle w:val="Compact"/>
              <w:jc w:val="left"/>
            </w:pPr>
            <w:r>
              <w:t xml:space="preserve">2190.03</w:t>
            </w:r>
          </w:p>
        </w:tc>
        <w:tc>
          <w:p>
            <w:pPr>
              <w:pStyle w:val="Compact"/>
              <w:jc w:val="left"/>
            </w:pPr>
            <w:r>
              <w:t xml:space="preserve">1476.45</w:t>
            </w:r>
          </w:p>
        </w:tc>
      </w:tr>
      <w:tr>
        <w:tc>
          <w:p>
            <w:pPr>
              <w:pStyle w:val="Compact"/>
              <w:jc w:val="left"/>
            </w:pPr>
            <w:r>
              <w:t xml:space="preserve">95% Upper CI (on Costs Scale)</w:t>
            </w:r>
          </w:p>
        </w:tc>
        <w:tc>
          <w:p>
            <w:pPr>
              <w:pStyle w:val="Compact"/>
              <w:jc w:val="left"/>
            </w:pPr>
            <w:r>
              <w:t xml:space="preserve">7805.29</w:t>
            </w:r>
          </w:p>
        </w:tc>
        <w:tc>
          <w:p>
            <w:pPr>
              <w:pStyle w:val="Compact"/>
              <w:jc w:val="left"/>
            </w:pPr>
            <w:r>
              <w:t xml:space="preserve">8144.96</w:t>
            </w:r>
          </w:p>
        </w:tc>
        <w:tc>
          <w:p>
            <w:pPr>
              <w:pStyle w:val="Compact"/>
              <w:jc w:val="left"/>
            </w:pPr>
            <w:r>
              <w:t xml:space="preserve">8313.36</w:t>
            </w:r>
          </w:p>
        </w:tc>
        <w:tc>
          <w:p>
            <w:pPr>
              <w:pStyle w:val="Compact"/>
              <w:jc w:val="left"/>
            </w:pPr>
            <w:r>
              <w:t xml:space="preserve">7112.39</w:t>
            </w:r>
          </w:p>
        </w:tc>
        <w:tc>
          <w:p>
            <w:pPr>
              <w:pStyle w:val="Compact"/>
              <w:jc w:val="left"/>
            </w:pPr>
            <w:r>
              <w:t xml:space="preserve">7746.07</w:t>
            </w:r>
          </w:p>
        </w:tc>
        <w:tc>
          <w:p>
            <w:pPr>
              <w:pStyle w:val="Compact"/>
              <w:jc w:val="left"/>
            </w:pPr>
            <w:r>
              <w:t xml:space="preserve">8183.16</w:t>
            </w:r>
          </w:p>
        </w:tc>
        <w:tc>
          <w:p>
            <w:pPr>
              <w:pStyle w:val="Compact"/>
              <w:jc w:val="left"/>
            </w:pPr>
            <w:r>
              <w:t xml:space="preserve">8242.91</w:t>
            </w:r>
          </w:p>
        </w:tc>
        <w:tc>
          <w:p>
            <w:pPr>
              <w:pStyle w:val="Compact"/>
              <w:jc w:val="left"/>
            </w:pPr>
            <w:r>
              <w:t xml:space="preserve">8286.61</w:t>
            </w:r>
          </w:p>
        </w:tc>
        <w:tc>
          <w:p>
            <w:pPr>
              <w:pStyle w:val="Compact"/>
              <w:jc w:val="left"/>
            </w:pPr>
            <w:r>
              <w:t xml:space="preserve">8326.44</w:t>
            </w:r>
          </w:p>
        </w:tc>
        <w:tc>
          <w:p>
            <w:pPr>
              <w:pStyle w:val="Compact"/>
              <w:jc w:val="left"/>
            </w:pPr>
            <w:r>
              <w:t xml:space="preserve">8162.43</w:t>
            </w:r>
          </w:p>
        </w:tc>
        <w:tc>
          <w:p>
            <w:pPr>
              <w:pStyle w:val="Compact"/>
              <w:jc w:val="left"/>
            </w:pPr>
            <w:r>
              <w:t xml:space="preserve">8215.09</w:t>
            </w:r>
          </w:p>
        </w:tc>
        <w:tc>
          <w:p>
            <w:pPr>
              <w:pStyle w:val="Compact"/>
              <w:jc w:val="left"/>
            </w:pPr>
            <w:r>
              <w:t xml:space="preserve">8290.50</w:t>
            </w:r>
          </w:p>
        </w:tc>
        <w:tc>
          <w:p>
            <w:pPr>
              <w:pStyle w:val="Compact"/>
              <w:jc w:val="left"/>
            </w:pPr>
            <w:r>
              <w:t xml:space="preserve">8451.60</w:t>
            </w:r>
          </w:p>
        </w:tc>
      </w:tr>
      <w:tr>
        <w:tc>
          <w:p>
            <w:pPr>
              <w:pStyle w:val="Compact"/>
              <w:jc w:val="left"/>
            </w:pPr>
            <w:r>
              <w:t xml:space="preserve">Expected Net Benefit on Effects Scale</w:t>
            </w:r>
          </w:p>
        </w:tc>
        <w:tc>
          <w:p>
            <w:pPr>
              <w:pStyle w:val="Compact"/>
              <w:jc w:val="left"/>
            </w:pPr>
            <w:r>
              <w:t xml:space="preserve">6.1681</w:t>
            </w:r>
          </w:p>
        </w:tc>
        <w:tc>
          <w:p>
            <w:pPr>
              <w:pStyle w:val="Compact"/>
              <w:jc w:val="left"/>
            </w:pPr>
            <w:r>
              <w:t xml:space="preserve">6.2767</w:t>
            </w:r>
          </w:p>
        </w:tc>
        <w:tc>
          <w:p>
            <w:pPr>
              <w:pStyle w:val="Compact"/>
              <w:jc w:val="left"/>
            </w:pPr>
            <w:r>
              <w:t xml:space="preserve">6.1575</w:t>
            </w:r>
          </w:p>
        </w:tc>
        <w:tc>
          <w:p>
            <w:pPr>
              <w:pStyle w:val="Compact"/>
              <w:jc w:val="left"/>
            </w:pPr>
            <w:r>
              <w:t xml:space="preserve">5.9543</w:t>
            </w:r>
          </w:p>
        </w:tc>
        <w:tc>
          <w:p>
            <w:pPr>
              <w:pStyle w:val="Compact"/>
              <w:jc w:val="left"/>
            </w:pPr>
            <w:r>
              <w:t xml:space="preserve">6.2471</w:t>
            </w:r>
          </w:p>
        </w:tc>
        <w:tc>
          <w:p>
            <w:pPr>
              <w:pStyle w:val="Compact"/>
              <w:jc w:val="left"/>
            </w:pPr>
            <w:r>
              <w:t xml:space="preserve">6.1609</w:t>
            </w:r>
          </w:p>
        </w:tc>
        <w:tc>
          <w:p>
            <w:pPr>
              <w:pStyle w:val="Compact"/>
              <w:jc w:val="left"/>
            </w:pPr>
            <w:r>
              <w:t xml:space="preserve">5.9345</w:t>
            </w:r>
          </w:p>
        </w:tc>
        <w:tc>
          <w:p>
            <w:pPr>
              <w:pStyle w:val="Compact"/>
              <w:jc w:val="left"/>
            </w:pPr>
            <w:r>
              <w:t xml:space="preserve">6.0603</w:t>
            </w:r>
          </w:p>
        </w:tc>
        <w:tc>
          <w:p>
            <w:pPr>
              <w:pStyle w:val="Compact"/>
              <w:jc w:val="left"/>
            </w:pPr>
            <w:r>
              <w:t xml:space="preserve">6.1026</w:t>
            </w:r>
          </w:p>
        </w:tc>
        <w:tc>
          <w:p>
            <w:pPr>
              <w:pStyle w:val="Compact"/>
              <w:jc w:val="left"/>
            </w:pPr>
            <w:r>
              <w:t xml:space="preserve">5.9074</w:t>
            </w:r>
          </w:p>
        </w:tc>
        <w:tc>
          <w:p>
            <w:pPr>
              <w:pStyle w:val="Compact"/>
              <w:jc w:val="left"/>
            </w:pPr>
            <w:r>
              <w:t xml:space="preserve">6.0482</w:t>
            </w:r>
          </w:p>
        </w:tc>
        <w:tc>
          <w:p>
            <w:pPr>
              <w:pStyle w:val="Compact"/>
              <w:jc w:val="left"/>
            </w:pPr>
            <w:r>
              <w:t xml:space="preserve">6.0966</w:t>
            </w:r>
          </w:p>
        </w:tc>
        <w:tc>
          <w:p>
            <w:pPr>
              <w:pStyle w:val="Compact"/>
              <w:jc w:val="left"/>
            </w:pPr>
            <w:r>
              <w:t xml:space="preserve">5.8697</w:t>
            </w:r>
          </w:p>
        </w:tc>
      </w:tr>
      <w:tr>
        <w:tc>
          <w:p>
            <w:pPr>
              <w:pStyle w:val="Compact"/>
              <w:jc w:val="left"/>
            </w:pPr>
            <w:r>
              <w:t xml:space="preserve">95% Lower CI (on Effects Scale)</w:t>
            </w:r>
          </w:p>
        </w:tc>
        <w:tc>
          <w:p>
            <w:pPr>
              <w:pStyle w:val="Compact"/>
              <w:jc w:val="left"/>
            </w:pPr>
            <w:r>
              <w:t xml:space="preserve">3.0668</w:t>
            </w:r>
          </w:p>
        </w:tc>
        <w:tc>
          <w:p>
            <w:pPr>
              <w:pStyle w:val="Compact"/>
              <w:jc w:val="left"/>
            </w:pPr>
            <w:r>
              <w:t xml:space="preserve">2.7847</w:t>
            </w:r>
          </w:p>
        </w:tc>
        <w:tc>
          <w:p>
            <w:pPr>
              <w:pStyle w:val="Compact"/>
              <w:jc w:val="left"/>
            </w:pPr>
            <w:r>
              <w:t xml:space="preserve">2.2598</w:t>
            </w:r>
          </w:p>
        </w:tc>
        <w:tc>
          <w:p>
            <w:pPr>
              <w:pStyle w:val="Compact"/>
              <w:jc w:val="left"/>
            </w:pPr>
            <w:r>
              <w:t xml:space="preserve">3.6397</w:t>
            </w:r>
          </w:p>
        </w:tc>
        <w:tc>
          <w:p>
            <w:pPr>
              <w:pStyle w:val="Compact"/>
              <w:jc w:val="left"/>
            </w:pPr>
            <w:r>
              <w:t xml:space="preserve">3.3467</w:t>
            </w:r>
          </w:p>
        </w:tc>
        <w:tc>
          <w:p>
            <w:pPr>
              <w:pStyle w:val="Compact"/>
              <w:jc w:val="left"/>
            </w:pPr>
            <w:r>
              <w:t xml:space="preserve">2.3931</w:t>
            </w:r>
          </w:p>
        </w:tc>
        <w:tc>
          <w:p>
            <w:pPr>
              <w:pStyle w:val="Compact"/>
              <w:jc w:val="left"/>
            </w:pPr>
            <w:r>
              <w:t xml:space="preserve">1.9838</w:t>
            </w:r>
          </w:p>
        </w:tc>
        <w:tc>
          <w:p>
            <w:pPr>
              <w:pStyle w:val="Compact"/>
              <w:jc w:val="left"/>
            </w:pPr>
            <w:r>
              <w:t xml:space="preserve">2.1586</w:t>
            </w:r>
          </w:p>
        </w:tc>
        <w:tc>
          <w:p>
            <w:pPr>
              <w:pStyle w:val="Compact"/>
              <w:jc w:val="left"/>
            </w:pPr>
            <w:r>
              <w:t xml:space="preserve">2.1629</w:t>
            </w:r>
          </w:p>
        </w:tc>
        <w:tc>
          <w:p>
            <w:pPr>
              <w:pStyle w:val="Compact"/>
              <w:jc w:val="left"/>
            </w:pPr>
            <w:r>
              <w:t xml:space="preserve">2.0214</w:t>
            </w:r>
          </w:p>
        </w:tc>
        <w:tc>
          <w:p>
            <w:pPr>
              <w:pStyle w:val="Compact"/>
              <w:jc w:val="left"/>
            </w:pPr>
            <w:r>
              <w:t xml:space="preserve">2.2665</w:t>
            </w:r>
          </w:p>
        </w:tc>
        <w:tc>
          <w:p>
            <w:pPr>
              <w:pStyle w:val="Compact"/>
              <w:jc w:val="left"/>
            </w:pPr>
            <w:r>
              <w:t xml:space="preserve">2.1900</w:t>
            </w:r>
          </w:p>
        </w:tc>
        <w:tc>
          <w:p>
            <w:pPr>
              <w:pStyle w:val="Compact"/>
              <w:jc w:val="left"/>
            </w:pPr>
            <w:r>
              <w:t xml:space="preserve">1.4764</w:t>
            </w:r>
          </w:p>
        </w:tc>
      </w:tr>
      <w:tr>
        <w:tc>
          <w:p>
            <w:pPr>
              <w:pStyle w:val="Compact"/>
              <w:jc w:val="left"/>
            </w:pPr>
            <w:r>
              <w:t xml:space="preserve">95% Upper CI (on Effects Scale)</w:t>
            </w:r>
          </w:p>
        </w:tc>
        <w:tc>
          <w:p>
            <w:pPr>
              <w:pStyle w:val="Compact"/>
              <w:jc w:val="left"/>
            </w:pPr>
            <w:r>
              <w:t xml:space="preserve">7.8053</w:t>
            </w:r>
          </w:p>
        </w:tc>
        <w:tc>
          <w:p>
            <w:pPr>
              <w:pStyle w:val="Compact"/>
              <w:jc w:val="left"/>
            </w:pPr>
            <w:r>
              <w:t xml:space="preserve">8.1450</w:t>
            </w:r>
          </w:p>
        </w:tc>
        <w:tc>
          <w:p>
            <w:pPr>
              <w:pStyle w:val="Compact"/>
              <w:jc w:val="left"/>
            </w:pPr>
            <w:r>
              <w:t xml:space="preserve">8.3134</w:t>
            </w:r>
          </w:p>
        </w:tc>
        <w:tc>
          <w:p>
            <w:pPr>
              <w:pStyle w:val="Compact"/>
              <w:jc w:val="left"/>
            </w:pPr>
            <w:r>
              <w:t xml:space="preserve">7.1124</w:t>
            </w:r>
          </w:p>
        </w:tc>
        <w:tc>
          <w:p>
            <w:pPr>
              <w:pStyle w:val="Compact"/>
              <w:jc w:val="left"/>
            </w:pPr>
            <w:r>
              <w:t xml:space="preserve">7.7461</w:t>
            </w:r>
          </w:p>
        </w:tc>
        <w:tc>
          <w:p>
            <w:pPr>
              <w:pStyle w:val="Compact"/>
              <w:jc w:val="left"/>
            </w:pPr>
            <w:r>
              <w:t xml:space="preserve">8.1832</w:t>
            </w:r>
          </w:p>
        </w:tc>
        <w:tc>
          <w:p>
            <w:pPr>
              <w:pStyle w:val="Compact"/>
              <w:jc w:val="left"/>
            </w:pPr>
            <w:r>
              <w:t xml:space="preserve">8.2429</w:t>
            </w:r>
          </w:p>
        </w:tc>
        <w:tc>
          <w:p>
            <w:pPr>
              <w:pStyle w:val="Compact"/>
              <w:jc w:val="left"/>
            </w:pPr>
            <w:r>
              <w:t xml:space="preserve">8.2866</w:t>
            </w:r>
          </w:p>
        </w:tc>
        <w:tc>
          <w:p>
            <w:pPr>
              <w:pStyle w:val="Compact"/>
              <w:jc w:val="left"/>
            </w:pPr>
            <w:r>
              <w:t xml:space="preserve">8.3264</w:t>
            </w:r>
          </w:p>
        </w:tc>
        <w:tc>
          <w:p>
            <w:pPr>
              <w:pStyle w:val="Compact"/>
              <w:jc w:val="left"/>
            </w:pPr>
            <w:r>
              <w:t xml:space="preserve">8.1624</w:t>
            </w:r>
          </w:p>
        </w:tc>
        <w:tc>
          <w:p>
            <w:pPr>
              <w:pStyle w:val="Compact"/>
              <w:jc w:val="left"/>
            </w:pPr>
            <w:r>
              <w:t xml:space="preserve">8.2151</w:t>
            </w:r>
          </w:p>
        </w:tc>
        <w:tc>
          <w:p>
            <w:pPr>
              <w:pStyle w:val="Compact"/>
              <w:jc w:val="left"/>
            </w:pPr>
            <w:r>
              <w:t xml:space="preserve">8.2905</w:t>
            </w:r>
          </w:p>
        </w:tc>
        <w:tc>
          <w:p>
            <w:pPr>
              <w:pStyle w:val="Compact"/>
              <w:jc w:val="left"/>
            </w:pPr>
            <w:r>
              <w:t xml:space="preserve">8.4516</w:t>
            </w:r>
          </w:p>
        </w:tc>
      </w:tr>
    </w:tbl>
    <w:bookmarkStart w:id="30" w:name="incremental-net-benefit-of-compared-with-the-optimal-comparator"/>
    <w:p>
      <w:pPr>
        <w:pStyle w:val="Heading2"/>
      </w:pPr>
      <w:r>
        <w:t xml:space="preserve">2.4.2 Incremental Net Benefit of compared with the optimal comparator</w:t>
      </w:r>
    </w:p>
    <w:bookmarkEnd w:id="30"/>
    <w:p>
      <w:r>
        <w:t xml:space="preserve">The graph shows the incremental expected net benefit of the strategies compared with X2.</w:t>
      </w:r>
    </w:p>
    <w:p>
      <w:r>
        <w:drawing>
          <wp:inline>
            <wp:extent cx="4610100" cy="3695700"/>
            <wp:effectExtent b="0" l="0" r="0" t="0"/>
            <wp:docPr descr=""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Start w:id="32" w:name="net-benefit-density-plots"/>
    <w:p>
      <w:pPr>
        <w:pStyle w:val="Heading2"/>
      </w:pPr>
      <w:r>
        <w:t xml:space="preserve">2.5 Net Benefit Density Plots</w:t>
      </w:r>
    </w:p>
    <w:bookmarkEnd w:id="32"/>
    <w:bookmarkStart w:id="33" w:name="absolute-net-benefit-1"/>
    <w:p>
      <w:pPr>
        <w:pStyle w:val="Heading2"/>
      </w:pPr>
      <w:r>
        <w:t xml:space="preserve">2.5.1 Absolute Net Benefit</w:t>
      </w:r>
    </w:p>
    <w:bookmarkEnd w:id="33"/>
    <w:p>
      <w:r>
        <w:t xml:space="preserve">The absolute monetary net benefit density is calculated for each of the 13 strategy comparators. The absolute Net Benefit density plot illustrates the overlaid densities for the 1000 simulation runs in the Probabistic Sensitivity Analysis. This graph illustrates how much overlap their is in the simulated Net Benefit of all strategies. However, the overlap between densities may be due to correlation in simulated outcomes, therefore it is necessary to examine the incremental differences between strategies (as discussed in Naversnik K, 2014).</w:t>
      </w:r>
    </w:p>
    <w:p>
      <w:r>
        <w:drawing>
          <wp:inline>
            <wp:extent cx="4610100" cy="3695700"/>
            <wp:effectExtent b="0" l="0" r="0" t="0"/>
            <wp:docPr descr=""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bookmarkStart w:id="35" w:name="incremental-net-benefit-density-compared-with-optimal-strategy"/>
    <w:p>
      <w:pPr>
        <w:pStyle w:val="Heading2"/>
      </w:pPr>
      <w:r>
        <w:t xml:space="preserve">2.5.2 Incremental Net Benefit Density Compared with Optimal Strategy</w:t>
      </w:r>
    </w:p>
    <w:bookmarkEnd w:id="35"/>
    <w:p>
      <w:r>
        <w:t xml:space="preserve">Densities for the incremental net benefit of each strategy compared with X2 (the strategy with maximum expected net benefit) are presented. In this graph it is possible compare strategy densities with correlation removed. It is possible to observe which strategies have simulated Net Benefit greater than the optimal strategy. If there are several strategies with overlapping densities, then several strategies are close in terms of their expected value to a decision maker, and given the relatively large decision uncertainty it might be valuable to consider further research to reduce uncertainty. The value of reducing uncertainty to the decision maker by undertaking further research is the subject of the analyses using expected value of information calculations. These calculations can consider all decision uncertainty (the overall expected value of perfect information (EVPI)) or for particular uncertain parameters within the PSA (expected value of perfect parameter information (EVPPI)).</w:t>
      </w:r>
    </w:p>
    <w:p>
      <w:r>
        <w:drawing>
          <wp:inline>
            <wp:extent cx="4610100" cy="3695700"/>
            <wp:effectExtent b="0" l="0" r="0" t="0"/>
            <wp:docPr descr=""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information about illustrating uncertainty for multiple strategies with correlated output are available in the literature.</w:t>
      </w:r>
    </w:p>
    <w:p>
      <w:r>
        <w:t xml:space="preserve">Naversnik K (2014) Output correlations in probabilistic models with multiple alternatives. Eur J Health Econ. 2014 Jan 4.</w:t>
      </w:r>
    </w:p>
    <w:bookmarkStart w:id="37" w:name="putting-a-value-on-the-decision-uncertainty-overall-expected-value-of-perfect-information-calculation"/>
    <w:p>
      <w:pPr>
        <w:pStyle w:val="Heading1"/>
      </w:pPr>
      <w:r>
        <w:t xml:space="preserve">3. Putting a value on the decision uncertainty: Overall Expected Value of Perfect Information Calculation</w:t>
      </w:r>
    </w:p>
    <w:bookmarkEnd w:id="37"/>
    <w:bookmarkStart w:id="38" w:name="understanding-the-evpi"/>
    <w:p>
      <w:pPr>
        <w:pStyle w:val="Heading2"/>
      </w:pPr>
      <w:r>
        <w:t xml:space="preserve">3.1 Understanding the EVPI</w:t>
      </w:r>
    </w:p>
    <w:bookmarkEnd w:id="38"/>
    <w:p>
      <w:r>
        <w:t xml:space="preserve">The calculation begins with the existing confidence intervals (or credible intervals) for the model parameters as used in the probabilistic sensitivity analysis. We then imagine a world in which we become absolutely (perfectly) certain about all of the model parameters i.e. the confidence interval for every single parameter is zero. The decision maker would then be absolutely certain which strategy to select and would choose the one with highest net benefit. One can visualise this idea by imagining that instead of seeing the cloud of dots on the cost-effectiveness plane (representing current uncertainty in costs and benefits) and having to choose, the decision maker now knows exactly which dot is the true value (because all of the uncertainty is removed) and so can be certain to choose the strategy which gives the best net benefit. In a two strategy comparison of new versus current care, if the true dot turns out to be below and to the right of the thresholdlambda line, then the decision maker would select the new strategy. If the true dot is above and to the left, then current care would be selected. Under the current uncertainty, the decision maker will choose the strategy based on the expected costs and benefits (essentially on whether the centre of gravity of the cloud is above or below the threshold line).</w:t>
      </w:r>
    </w:p>
    <w:bookmarkStart w:id="39" w:name="overall-evpi"/>
    <w:p>
      <w:pPr>
        <w:pStyle w:val="Heading2"/>
      </w:pPr>
      <w:r>
        <w:t xml:space="preserve">3.2 Overall EVPI</w:t>
      </w:r>
    </w:p>
    <w:bookmarkEnd w:id="39"/>
    <w:p>
      <w:r>
        <w:t xml:space="preserve">The overall EVPI per person affected by the decision is estimated at £ 166.5 per person. This is equivalent to 0.1665 QALY per person in decision uncertainty when valuing uncertainty on the QALY scale.</w:t>
      </w:r>
    </w:p>
    <w:p>
      <w:r>
        <w:t xml:space="preserve">Assuming an annual number of people affected by the decision of 10^{6}, the overall EVPI per year is £ 166503537.0 for UK.</w:t>
      </w:r>
    </w:p>
    <w:p>
      <w:r>
        <w:t xml:space="preserve">When thinking about the overall expected value of removing decision uncertainty, one needs to consider how long the current comparison will remain relevant e.g. if new treatments of options or even cures are anticipated to become available for a disease. For the specified decision relevance horizon of 12 years, the overall expected value of removing decision uncertainty for UK would in total be £ 1.998e+09.</w:t>
      </w:r>
    </w:p>
    <w:p>
      <w:r>
        <w:t xml:space="preserve">Research or data collection exercises costing more than this amount would not be considered cost-effective use of resources. This is because the return on investment from the research, as measured by the health gain and cost savings of enabling decision makers ability to switch and select other strategies when evidence obtained reduces decision uncertainty, is expected to be no higher than the figure of £ 1.998e+09.</w:t>
      </w:r>
    </w:p>
    <w:p>
      <w:r>
        <w:t xml:space="preserve">The EVPI estimates in the table below quantifies the expected value to decision makers within the jurisdiction of removing all current decision uncertainty at a threshold of £ 1000 per QALY. This will enable comparison against previous analyses to provide an idea of the scale of decision uncertainty in this topic compared with other previous decisions. The EVPI estimate for varying willingness to pay thresholds are illustrated in the figures below.</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EVPI Financial Valuation ( £ )</w:t>
            </w:r>
          </w:p>
        </w:tc>
        <w:tc>
          <w:tcPr>
            <w:tcBorders>
              <w:bottom w:val="single"/>
            </w:tcBorders>
            <w:vAlign w:val="bottom"/>
          </w:tcPr>
          <w:p>
            <w:pPr>
              <w:pStyle w:val="Compact"/>
              <w:jc w:val="right"/>
            </w:pPr>
            <w:r>
              <w:t xml:space="preserve">EVPI QALY Valuation</w:t>
            </w:r>
          </w:p>
        </w:tc>
      </w:tr>
      <w:tr>
        <w:tc>
          <w:p>
            <w:pPr>
              <w:pStyle w:val="Compact"/>
              <w:jc w:val="left"/>
            </w:pPr>
            <w:r>
              <w:t xml:space="preserve">Per Person Affected by the Decision</w:t>
            </w:r>
          </w:p>
        </w:tc>
        <w:tc>
          <w:p>
            <w:pPr>
              <w:pStyle w:val="Compact"/>
              <w:jc w:val="right"/>
            </w:pPr>
            <w:r>
              <w:t xml:space="preserve">1.665e+02</w:t>
            </w:r>
          </w:p>
        </w:tc>
        <w:tc>
          <w:p>
            <w:pPr>
              <w:pStyle w:val="Compact"/>
              <w:jc w:val="right"/>
            </w:pPr>
            <w:r>
              <w:t xml:space="preserve">1.665e-01</w:t>
            </w:r>
          </w:p>
        </w:tc>
      </w:tr>
      <w:tr>
        <w:tc>
          <w:p>
            <w:pPr>
              <w:pStyle w:val="Compact"/>
              <w:jc w:val="left"/>
            </w:pPr>
            <w:r>
              <w:t xml:space="preserve">Assuming 1e+06 Persons Affected per Year</w:t>
            </w:r>
          </w:p>
        </w:tc>
        <w:tc>
          <w:p>
            <w:pPr>
              <w:pStyle w:val="Compact"/>
              <w:jc w:val="right"/>
            </w:pPr>
            <w:r>
              <w:t xml:space="preserve">1.665e+08</w:t>
            </w:r>
          </w:p>
        </w:tc>
        <w:tc>
          <w:p>
            <w:pPr>
              <w:pStyle w:val="Compact"/>
              <w:jc w:val="right"/>
            </w:pPr>
            <w:r>
              <w:t xml:space="preserve">1.665e+05</w:t>
            </w:r>
          </w:p>
        </w:tc>
      </w:tr>
      <w:tr>
        <w:tc>
          <w:p>
            <w:pPr>
              <w:pStyle w:val="Compact"/>
              <w:jc w:val="left"/>
            </w:pPr>
            <w:r>
              <w:t xml:space="preserve">Over 5 Years</w:t>
            </w:r>
          </w:p>
        </w:tc>
        <w:tc>
          <w:p>
            <w:pPr>
              <w:pStyle w:val="Compact"/>
              <w:jc w:val="right"/>
            </w:pPr>
            <w:r>
              <w:t xml:space="preserve">8.325e+08</w:t>
            </w:r>
          </w:p>
        </w:tc>
        <w:tc>
          <w:p>
            <w:pPr>
              <w:pStyle w:val="Compact"/>
              <w:jc w:val="right"/>
            </w:pPr>
            <w:r>
              <w:t xml:space="preserve">8.325e+05</w:t>
            </w:r>
          </w:p>
        </w:tc>
      </w:tr>
      <w:tr>
        <w:tc>
          <w:p>
            <w:pPr>
              <w:pStyle w:val="Compact"/>
              <w:jc w:val="left"/>
            </w:pPr>
            <w:r>
              <w:t xml:space="preserve">Over 10 Years</w:t>
            </w:r>
          </w:p>
        </w:tc>
        <w:tc>
          <w:p>
            <w:pPr>
              <w:pStyle w:val="Compact"/>
              <w:jc w:val="right"/>
            </w:pPr>
            <w:r>
              <w:t xml:space="preserve">1.665e+09</w:t>
            </w:r>
          </w:p>
        </w:tc>
        <w:tc>
          <w:p>
            <w:pPr>
              <w:pStyle w:val="Compact"/>
              <w:jc w:val="right"/>
            </w:pPr>
            <w:r>
              <w:t xml:space="preserve">1.665e+06</w:t>
            </w:r>
          </w:p>
        </w:tc>
      </w:tr>
      <w:tr>
        <w:tc>
          <w:p>
            <w:pPr>
              <w:pStyle w:val="Compact"/>
              <w:jc w:val="left"/>
            </w:pPr>
            <w:r>
              <w:t xml:space="preserve">Over 15 Years</w:t>
            </w:r>
          </w:p>
        </w:tc>
        <w:tc>
          <w:p>
            <w:pPr>
              <w:pStyle w:val="Compact"/>
              <w:jc w:val="right"/>
            </w:pPr>
            <w:r>
              <w:t xml:space="preserve">2.498e+09</w:t>
            </w:r>
          </w:p>
        </w:tc>
        <w:tc>
          <w:p>
            <w:pPr>
              <w:pStyle w:val="Compact"/>
              <w:jc w:val="right"/>
            </w:pPr>
            <w:r>
              <w:t xml:space="preserve">2.498e+06</w:t>
            </w:r>
          </w:p>
        </w:tc>
      </w:tr>
      <w:tr>
        <w:tc>
          <w:p>
            <w:pPr>
              <w:pStyle w:val="Compact"/>
              <w:jc w:val="left"/>
            </w:pPr>
            <w:r>
              <w:t xml:space="preserve">Over 20 years</w:t>
            </w:r>
          </w:p>
        </w:tc>
        <w:tc>
          <w:p>
            <w:pPr>
              <w:pStyle w:val="Compact"/>
              <w:jc w:val="right"/>
            </w:pPr>
            <w:r>
              <w:t xml:space="preserve">3.330e+09</w:t>
            </w:r>
          </w:p>
        </w:tc>
        <w:tc>
          <w:p>
            <w:pPr>
              <w:pStyle w:val="Compact"/>
              <w:jc w:val="right"/>
            </w:pPr>
            <w:r>
              <w:t xml:space="preserve">3.330e+06</w:t>
            </w:r>
          </w:p>
        </w:tc>
      </w:tr>
      <w:tr>
        <w:tc>
          <w:p>
            <w:pPr>
              <w:pStyle w:val="Compact"/>
              <w:jc w:val="left"/>
            </w:pPr>
            <w:r>
              <w:t xml:space="preserve">Over Decision Relevance Horizon ( 12 years)</w:t>
            </w:r>
          </w:p>
        </w:tc>
        <w:tc>
          <w:p>
            <w:pPr>
              <w:pStyle w:val="Compact"/>
              <w:jc w:val="right"/>
            </w:pPr>
            <w:r>
              <w:t xml:space="preserve">1.998e+09</w:t>
            </w:r>
          </w:p>
        </w:tc>
        <w:tc>
          <w:p>
            <w:pPr>
              <w:pStyle w:val="Compact"/>
              <w:jc w:val="right"/>
            </w:pPr>
            <w:r>
              <w:t xml:space="preserve">1.998e+06</w:t>
            </w:r>
          </w:p>
        </w:tc>
      </w:tr>
    </w:tbl>
    <w:p>
      <w:r>
        <w:drawing>
          <wp:inline>
            <wp:extent cx="4610100" cy="3695700"/>
            <wp:effectExtent b="0" l="0" r="0" t="0"/>
            <wp:docPr descr=""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bookmarkStart w:id="44" w:name="which-parameters-are-causing-most-of-the-decision-uncertainty-and-what-is-the-potential-value-of-reducing-uncertainty-by-collecting-more-data-partial-expected-value-of-perfect-information"/>
    <w:p>
      <w:pPr>
        <w:pStyle w:val="Heading1"/>
      </w:pPr>
      <w:r>
        <w:t xml:space="preserve">4. Which parameters are causing most of the decision uncertainty and what is the potential value of reducing uncertainty by collecting more data: Partial Expected Value of Perfect Information</w:t>
      </w:r>
    </w:p>
    <w:bookmarkEnd w:id="44"/>
    <w:bookmarkStart w:id="45" w:name="single-parameter-evppi"/>
    <w:p>
      <w:pPr>
        <w:pStyle w:val="Heading2"/>
      </w:pPr>
      <w:r>
        <w:t xml:space="preserve">4.1 Single parameter EVPPI</w:t>
      </w:r>
    </w:p>
    <w:bookmarkEnd w:id="45"/>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Per Person EVPPI ( £ )</w:t>
            </w:r>
          </w:p>
        </w:tc>
        <w:tc>
          <w:tcPr>
            <w:tcBorders>
              <w:bottom w:val="single"/>
            </w:tcBorders>
            <w:vAlign w:val="bottom"/>
          </w:tcPr>
          <w:p>
            <w:pPr>
              <w:pStyle w:val="Compact"/>
              <w:jc w:val="right"/>
            </w:pPr>
            <w:r>
              <w:t xml:space="preserve">Indexed Overall EVPI = 1.00</w:t>
            </w:r>
          </w:p>
        </w:tc>
        <w:tc>
          <w:tcPr>
            <w:tcBorders>
              <w:bottom w:val="single"/>
            </w:tcBorders>
            <w:vAlign w:val="bottom"/>
          </w:tcPr>
          <w:p>
            <w:pPr>
              <w:pStyle w:val="Compact"/>
              <w:jc w:val="right"/>
            </w:pPr>
            <w:r>
              <w:t xml:space="preserve">EVPPI for UK Per Year</w:t>
            </w:r>
          </w:p>
        </w:tc>
        <w:tc>
          <w:tcPr>
            <w:tcBorders>
              <w:bottom w:val="single"/>
            </w:tcBorders>
            <w:vAlign w:val="bottom"/>
          </w:tcPr>
          <w:p>
            <w:pPr>
              <w:pStyle w:val="Compact"/>
              <w:jc w:val="right"/>
            </w:pPr>
            <w:r>
              <w:t xml:space="preserve">EVPPI for UK over 12 years</w:t>
            </w:r>
          </w:p>
        </w:tc>
      </w:tr>
      <w:tr>
        <w:tc>
          <w:p>
            <w:pPr>
              <w:pStyle w:val="Compact"/>
              <w:jc w:val="left"/>
            </w:pPr>
            <w:r>
              <w:t xml:space="preserve">Mean.sojourn.no.adenoma.to.adenoma</w:t>
            </w:r>
          </w:p>
        </w:tc>
        <w:tc>
          <w:p>
            <w:pPr>
              <w:pStyle w:val="Compact"/>
              <w:jc w:val="right"/>
            </w:pPr>
            <w:r>
              <w:t xml:space="preserve">119.23</w:t>
            </w:r>
          </w:p>
        </w:tc>
        <w:tc>
          <w:p>
            <w:pPr>
              <w:pStyle w:val="Compact"/>
              <w:jc w:val="right"/>
            </w:pPr>
            <w:r>
              <w:t xml:space="preserve">0.72</w:t>
            </w:r>
          </w:p>
        </w:tc>
        <w:tc>
          <w:p>
            <w:pPr>
              <w:pStyle w:val="Compact"/>
              <w:jc w:val="right"/>
            </w:pPr>
            <w:r>
              <w:t xml:space="preserve">119200000</w:t>
            </w:r>
          </w:p>
        </w:tc>
        <w:tc>
          <w:p>
            <w:pPr>
              <w:pStyle w:val="Compact"/>
              <w:jc w:val="right"/>
            </w:pPr>
            <w:r>
              <w:t xml:space="preserve">1.431e+09</w:t>
            </w:r>
          </w:p>
        </w:tc>
      </w:tr>
      <w:tr>
        <w:tc>
          <w:p>
            <w:pPr>
              <w:pStyle w:val="Compact"/>
              <w:jc w:val="left"/>
            </w:pPr>
            <w:r>
              <w:t xml:space="preserve">Mean.sojourn.adenoma.to.preclinical.cancer</w:t>
            </w:r>
          </w:p>
        </w:tc>
        <w:tc>
          <w:p>
            <w:pPr>
              <w:pStyle w:val="Compact"/>
              <w:jc w:val="right"/>
            </w:pPr>
            <w:r>
              <w:t xml:space="preserve">131.85</w:t>
            </w:r>
          </w:p>
        </w:tc>
        <w:tc>
          <w:p>
            <w:pPr>
              <w:pStyle w:val="Compact"/>
              <w:jc w:val="right"/>
            </w:pPr>
            <w:r>
              <w:t xml:space="preserve">0.79</w:t>
            </w:r>
          </w:p>
        </w:tc>
        <w:tc>
          <w:p>
            <w:pPr>
              <w:pStyle w:val="Compact"/>
              <w:jc w:val="right"/>
            </w:pPr>
            <w:r>
              <w:t xml:space="preserve">131800000</w:t>
            </w:r>
          </w:p>
        </w:tc>
        <w:tc>
          <w:p>
            <w:pPr>
              <w:pStyle w:val="Compact"/>
              <w:jc w:val="right"/>
            </w:pPr>
            <w:r>
              <w:t xml:space="preserve">1.582e+09</w:t>
            </w:r>
          </w:p>
        </w:tc>
      </w:tr>
      <w:tr>
        <w:tc>
          <w:p>
            <w:pPr>
              <w:pStyle w:val="Compact"/>
              <w:jc w:val="left"/>
            </w:pPr>
            <w:r>
              <w:t xml:space="preserve">Mean.sojourn.preclinical.cancer.to.clinical.cancer</w:t>
            </w:r>
          </w:p>
        </w:tc>
        <w:tc>
          <w:p>
            <w:pPr>
              <w:pStyle w:val="Compact"/>
              <w:jc w:val="right"/>
            </w:pPr>
            <w:r>
              <w:t xml:space="preserve">150.47</w:t>
            </w:r>
          </w:p>
        </w:tc>
        <w:tc>
          <w:p>
            <w:pPr>
              <w:pStyle w:val="Compact"/>
              <w:jc w:val="right"/>
            </w:pPr>
            <w:r>
              <w:t xml:space="preserve">0.90</w:t>
            </w:r>
          </w:p>
        </w:tc>
        <w:tc>
          <w:p>
            <w:pPr>
              <w:pStyle w:val="Compact"/>
              <w:jc w:val="right"/>
            </w:pPr>
            <w:r>
              <w:t xml:space="preserve">150500000</w:t>
            </w:r>
          </w:p>
        </w:tc>
        <w:tc>
          <w:p>
            <w:pPr>
              <w:pStyle w:val="Compact"/>
              <w:jc w:val="right"/>
            </w:pPr>
            <w:r>
              <w:t xml:space="preserve">1.806e+09</w:t>
            </w:r>
          </w:p>
        </w:tc>
      </w:tr>
      <w:tr>
        <w:tc>
          <w:p>
            <w:pPr>
              <w:pStyle w:val="Compact"/>
              <w:jc w:val="left"/>
            </w:pPr>
            <w:r>
              <w:t xml:space="preserve">Relative.survival.preclinical.vs.clinical</w:t>
            </w:r>
          </w:p>
        </w:tc>
        <w:tc>
          <w:p>
            <w:pPr>
              <w:pStyle w:val="Compact"/>
              <w:jc w:val="right"/>
            </w:pPr>
            <w:r>
              <w:t xml:space="preserve">0.49</w:t>
            </w:r>
          </w:p>
        </w:tc>
        <w:tc>
          <w:p>
            <w:pPr>
              <w:pStyle w:val="Compact"/>
              <w:jc w:val="right"/>
            </w:pPr>
            <w:r>
              <w:t xml:space="preserve">0.00</w:t>
            </w:r>
          </w:p>
        </w:tc>
        <w:tc>
          <w:p>
            <w:pPr>
              <w:pStyle w:val="Compact"/>
              <w:jc w:val="right"/>
            </w:pPr>
            <w:r>
              <w:t xml:space="preserve">486200</w:t>
            </w:r>
          </w:p>
        </w:tc>
        <w:tc>
          <w:p>
            <w:pPr>
              <w:pStyle w:val="Compact"/>
              <w:jc w:val="right"/>
            </w:pPr>
            <w:r>
              <w:t xml:space="preserve">5.834e+06</w:t>
            </w:r>
          </w:p>
        </w:tc>
      </w:tr>
      <w:tr>
        <w:tc>
          <w:p>
            <w:pPr>
              <w:pStyle w:val="Compact"/>
              <w:jc w:val="left"/>
            </w:pPr>
            <w:r>
              <w:t xml:space="preserve">TP.clinical.cancer.to.dead...alpha</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TP.clinical.cancer.to.dead...beta</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Specificity.adenomas..cancer</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Sensitivity.adenomas</w:t>
            </w:r>
          </w:p>
        </w:tc>
        <w:tc>
          <w:p>
            <w:pPr>
              <w:pStyle w:val="Compact"/>
              <w:jc w:val="right"/>
            </w:pPr>
            <w:r>
              <w:t xml:space="preserve">41.90</w:t>
            </w:r>
          </w:p>
        </w:tc>
        <w:tc>
          <w:p>
            <w:pPr>
              <w:pStyle w:val="Compact"/>
              <w:jc w:val="right"/>
            </w:pPr>
            <w:r>
              <w:t xml:space="preserve">0.25</w:t>
            </w:r>
          </w:p>
        </w:tc>
        <w:tc>
          <w:p>
            <w:pPr>
              <w:pStyle w:val="Compact"/>
              <w:jc w:val="right"/>
            </w:pPr>
            <w:r>
              <w:t xml:space="preserve">41900000</w:t>
            </w:r>
          </w:p>
        </w:tc>
        <w:tc>
          <w:p>
            <w:pPr>
              <w:pStyle w:val="Compact"/>
              <w:jc w:val="right"/>
            </w:pPr>
            <w:r>
              <w:t xml:space="preserve">5.028e+08</w:t>
            </w:r>
          </w:p>
        </w:tc>
      </w:tr>
      <w:tr>
        <w:tc>
          <w:p>
            <w:pPr>
              <w:pStyle w:val="Compact"/>
              <w:jc w:val="left"/>
            </w:pPr>
            <w:r>
              <w:t xml:space="preserve">Sensitivity.cancer</w:t>
            </w:r>
          </w:p>
        </w:tc>
        <w:tc>
          <w:p>
            <w:pPr>
              <w:pStyle w:val="Compact"/>
              <w:jc w:val="right"/>
            </w:pPr>
            <w:r>
              <w:t xml:space="preserve">90.95</w:t>
            </w:r>
          </w:p>
        </w:tc>
        <w:tc>
          <w:p>
            <w:pPr>
              <w:pStyle w:val="Compact"/>
              <w:jc w:val="right"/>
            </w:pPr>
            <w:r>
              <w:t xml:space="preserve">0.55</w:t>
            </w:r>
          </w:p>
        </w:tc>
        <w:tc>
          <w:p>
            <w:pPr>
              <w:pStyle w:val="Compact"/>
              <w:jc w:val="right"/>
            </w:pPr>
            <w:r>
              <w:t xml:space="preserve">90950000</w:t>
            </w:r>
          </w:p>
        </w:tc>
        <w:tc>
          <w:p>
            <w:pPr>
              <w:pStyle w:val="Compact"/>
              <w:jc w:val="right"/>
            </w:pPr>
            <w:r>
              <w:t xml:space="preserve">1.091e+09</w:t>
            </w:r>
          </w:p>
        </w:tc>
      </w:tr>
      <w:tr>
        <w:tc>
          <w:p>
            <w:pPr>
              <w:pStyle w:val="Compact"/>
              <w:jc w:val="left"/>
            </w:pPr>
            <w:r>
              <w:t xml:space="preserve">Probability.complication</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Probability.complication.is.perforation..else.bleed.</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Probability.death...perforation</w:t>
            </w:r>
          </w:p>
        </w:tc>
        <w:tc>
          <w:p>
            <w:pPr>
              <w:pStyle w:val="Compact"/>
              <w:jc w:val="right"/>
            </w:pPr>
            <w:r>
              <w:t xml:space="preserve">0.03</w:t>
            </w:r>
          </w:p>
        </w:tc>
        <w:tc>
          <w:p>
            <w:pPr>
              <w:pStyle w:val="Compact"/>
              <w:jc w:val="right"/>
            </w:pPr>
            <w:r>
              <w:t xml:space="preserve">0.00</w:t>
            </w:r>
          </w:p>
        </w:tc>
        <w:tc>
          <w:p>
            <w:pPr>
              <w:pStyle w:val="Compact"/>
              <w:jc w:val="right"/>
            </w:pPr>
            <w:r>
              <w:t xml:space="preserve">31940</w:t>
            </w:r>
          </w:p>
        </w:tc>
        <w:tc>
          <w:p>
            <w:pPr>
              <w:pStyle w:val="Compact"/>
              <w:jc w:val="right"/>
            </w:pPr>
            <w:r>
              <w:t xml:space="preserve">3.832e+05</w:t>
            </w:r>
          </w:p>
        </w:tc>
      </w:tr>
      <w:tr>
        <w:tc>
          <w:p>
            <w:pPr>
              <w:pStyle w:val="Compact"/>
              <w:jc w:val="left"/>
            </w:pPr>
            <w:r>
              <w:t xml:space="preserve">Probability.bleed</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HRQoL.no.cancer</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HRQoL.preclinical.cancer</w:t>
            </w:r>
          </w:p>
        </w:tc>
        <w:tc>
          <w:p>
            <w:pPr>
              <w:pStyle w:val="Compact"/>
              <w:jc w:val="right"/>
            </w:pPr>
            <w:r>
              <w:t xml:space="preserve">0.04</w:t>
            </w:r>
          </w:p>
        </w:tc>
        <w:tc>
          <w:p>
            <w:pPr>
              <w:pStyle w:val="Compact"/>
              <w:jc w:val="right"/>
            </w:pPr>
            <w:r>
              <w:t xml:space="preserve">0.00</w:t>
            </w:r>
          </w:p>
        </w:tc>
        <w:tc>
          <w:p>
            <w:pPr>
              <w:pStyle w:val="Compact"/>
              <w:jc w:val="right"/>
            </w:pPr>
            <w:r>
              <w:t xml:space="preserve">42740</w:t>
            </w:r>
          </w:p>
        </w:tc>
        <w:tc>
          <w:p>
            <w:pPr>
              <w:pStyle w:val="Compact"/>
              <w:jc w:val="right"/>
            </w:pPr>
            <w:r>
              <w:t xml:space="preserve">5.129e+05</w:t>
            </w:r>
          </w:p>
        </w:tc>
      </w:tr>
      <w:tr>
        <w:tc>
          <w:p>
            <w:pPr>
              <w:pStyle w:val="Compact"/>
              <w:jc w:val="left"/>
            </w:pPr>
            <w:r>
              <w:t xml:space="preserve">HRQoL.clinical.cancer</w:t>
            </w:r>
          </w:p>
        </w:tc>
        <w:tc>
          <w:p>
            <w:pPr>
              <w:pStyle w:val="Compact"/>
              <w:jc w:val="right"/>
            </w:pPr>
            <w:r>
              <w:t xml:space="preserve">0.04</w:t>
            </w:r>
          </w:p>
        </w:tc>
        <w:tc>
          <w:p>
            <w:pPr>
              <w:pStyle w:val="Compact"/>
              <w:jc w:val="right"/>
            </w:pPr>
            <w:r>
              <w:t xml:space="preserve">0.00</w:t>
            </w:r>
          </w:p>
        </w:tc>
        <w:tc>
          <w:p>
            <w:pPr>
              <w:pStyle w:val="Compact"/>
              <w:jc w:val="right"/>
            </w:pPr>
            <w:r>
              <w:t xml:space="preserve">42740</w:t>
            </w:r>
          </w:p>
        </w:tc>
        <w:tc>
          <w:p>
            <w:pPr>
              <w:pStyle w:val="Compact"/>
              <w:jc w:val="right"/>
            </w:pPr>
            <w:r>
              <w:t xml:space="preserve">5.129e+05</w:t>
            </w:r>
          </w:p>
        </w:tc>
      </w:tr>
      <w:tr>
        <w:tc>
          <w:p>
            <w:pPr>
              <w:pStyle w:val="Compact"/>
              <w:jc w:val="left"/>
            </w:pPr>
            <w:r>
              <w:t xml:space="preserve">Cost.surveillance</w:t>
            </w:r>
          </w:p>
        </w:tc>
        <w:tc>
          <w:p>
            <w:pPr>
              <w:pStyle w:val="Compact"/>
              <w:jc w:val="right"/>
            </w:pPr>
            <w:r>
              <w:t xml:space="preserve">1.00</w:t>
            </w:r>
          </w:p>
        </w:tc>
        <w:tc>
          <w:p>
            <w:pPr>
              <w:pStyle w:val="Compact"/>
              <w:jc w:val="right"/>
            </w:pPr>
            <w:r>
              <w:t xml:space="preserve">0.01</w:t>
            </w:r>
          </w:p>
        </w:tc>
        <w:tc>
          <w:p>
            <w:pPr>
              <w:pStyle w:val="Compact"/>
              <w:jc w:val="right"/>
            </w:pPr>
            <w:r>
              <w:t xml:space="preserve">995500</w:t>
            </w:r>
          </w:p>
        </w:tc>
        <w:tc>
          <w:p>
            <w:pPr>
              <w:pStyle w:val="Compact"/>
              <w:jc w:val="right"/>
            </w:pPr>
            <w:r>
              <w:t xml:space="preserve">1.195e+07</w:t>
            </w:r>
          </w:p>
        </w:tc>
      </w:tr>
      <w:tr>
        <w:tc>
          <w:p>
            <w:pPr>
              <w:pStyle w:val="Compact"/>
              <w:jc w:val="left"/>
            </w:pPr>
            <w:r>
              <w:t xml:space="preserve">Cost.cancer..lifetime.</w:t>
            </w:r>
          </w:p>
        </w:tc>
        <w:tc>
          <w:p>
            <w:pPr>
              <w:pStyle w:val="Compact"/>
              <w:jc w:val="right"/>
            </w:pPr>
            <w:r>
              <w:t xml:space="preserve">7.07</w:t>
            </w:r>
          </w:p>
        </w:tc>
        <w:tc>
          <w:p>
            <w:pPr>
              <w:pStyle w:val="Compact"/>
              <w:jc w:val="right"/>
            </w:pPr>
            <w:r>
              <w:t xml:space="preserve">0.04</w:t>
            </w:r>
          </w:p>
        </w:tc>
        <w:tc>
          <w:p>
            <w:pPr>
              <w:pStyle w:val="Compact"/>
              <w:jc w:val="right"/>
            </w:pPr>
            <w:r>
              <w:t xml:space="preserve">7072000</w:t>
            </w:r>
          </w:p>
        </w:tc>
        <w:tc>
          <w:p>
            <w:pPr>
              <w:pStyle w:val="Compact"/>
              <w:jc w:val="right"/>
            </w:pPr>
            <w:r>
              <w:t xml:space="preserve">8.487e+07</w:t>
            </w:r>
          </w:p>
        </w:tc>
      </w:tr>
      <w:tr>
        <w:tc>
          <w:p>
            <w:pPr>
              <w:pStyle w:val="Compact"/>
              <w:jc w:val="left"/>
            </w:pPr>
            <w:r>
              <w:t xml:space="preserve">Cost.perforation</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Cost.bleed</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bl>
    <w:p>
      <w:r>
        <w:drawing>
          <wp:inline>
            <wp:extent cx="4610100" cy="3695700"/>
            <wp:effectExtent b="0" l="0" r="0" t="0"/>
            <wp:docPr descr=""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bookmarkStart w:id="47" w:name="group-parameter-evppi"/>
    <w:p>
      <w:pPr>
        <w:pStyle w:val="Heading2"/>
      </w:pPr>
      <w:r>
        <w:t xml:space="preserve">4.1 Group parameter EVPPI</w:t>
      </w:r>
    </w:p>
    <w:bookmarkEnd w:id="47"/>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793b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of Information Report</dc:title>
  <dc:creator>Adenoma</dc:creator>
</cp:coreProperties>
</file>