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Adenoma</w:t>
      </w:r>
    </w:p>
    <w:p>
      <w:pPr>
        <w:pStyle w:val="Date"/>
      </w:pPr>
      <w:r>
        <w:t xml:space="preserve">04</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Threshold ( £ )</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Comparator</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r>
      <w:tr>
        <w:tc>
          <w:p>
            <w:pPr>
              <w:pStyle w:val="Compact"/>
              <w:jc w:val="left"/>
            </w:pPr>
            <w:r>
              <w:t xml:space="preserve">Number of PSA runs</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Mean inc. QALY</w:t>
            </w:r>
          </w:p>
        </w:tc>
        <w:tc>
          <w:p>
            <w:pPr>
              <w:pStyle w:val="Compact"/>
              <w:jc w:val="left"/>
            </w:pPr>
            <w:r>
              <w:t xml:space="preserve">-0.1564</w:t>
            </w:r>
          </w:p>
        </w:tc>
        <w:tc>
          <w:p>
            <w:pPr>
              <w:pStyle w:val="Compact"/>
              <w:jc w:val="left"/>
            </w:pPr>
            <w:r>
              <w:t xml:space="preserve">-0.3629</w:t>
            </w:r>
          </w:p>
        </w:tc>
        <w:tc>
          <w:p>
            <w:pPr>
              <w:pStyle w:val="Compact"/>
              <w:jc w:val="left"/>
            </w:pPr>
            <w:r>
              <w:t xml:space="preserve">0.1223</w:t>
            </w:r>
          </w:p>
        </w:tc>
        <w:tc>
          <w:p>
            <w:pPr>
              <w:pStyle w:val="Compact"/>
              <w:jc w:val="left"/>
            </w:pPr>
            <w:r>
              <w:t xml:space="preserve">-0.0732</w:t>
            </w:r>
          </w:p>
        </w:tc>
        <w:tc>
          <w:p>
            <w:pPr>
              <w:pStyle w:val="Compact"/>
              <w:jc w:val="left"/>
            </w:pPr>
            <w:r>
              <w:t xml:space="preserve">-0.3382</w:t>
            </w:r>
          </w:p>
        </w:tc>
        <w:tc>
          <w:p>
            <w:pPr>
              <w:pStyle w:val="Compact"/>
              <w:jc w:val="left"/>
            </w:pPr>
            <w:r>
              <w:t xml:space="preserve">-0.4074</w:t>
            </w:r>
          </w:p>
        </w:tc>
        <w:tc>
          <w:p>
            <w:pPr>
              <w:pStyle w:val="Compact"/>
              <w:jc w:val="left"/>
            </w:pPr>
            <w:r>
              <w:t xml:space="preserve">-0.3720</w:t>
            </w:r>
          </w:p>
        </w:tc>
        <w:tc>
          <w:p>
            <w:pPr>
              <w:pStyle w:val="Compact"/>
              <w:jc w:val="left"/>
            </w:pPr>
            <w:r>
              <w:t xml:space="preserve">-0.4052</w:t>
            </w:r>
          </w:p>
        </w:tc>
        <w:tc>
          <w:p>
            <w:pPr>
              <w:pStyle w:val="Compact"/>
              <w:jc w:val="left"/>
            </w:pPr>
            <w:r>
              <w:t xml:space="preserve">-0.3960</w:t>
            </w:r>
          </w:p>
        </w:tc>
        <w:tc>
          <w:p>
            <w:pPr>
              <w:pStyle w:val="Compact"/>
              <w:jc w:val="left"/>
            </w:pPr>
            <w:r>
              <w:t xml:space="preserve">-0.3617</w:t>
            </w:r>
          </w:p>
        </w:tc>
        <w:tc>
          <w:p>
            <w:pPr>
              <w:pStyle w:val="Compact"/>
              <w:jc w:val="left"/>
            </w:pPr>
            <w:r>
              <w:t xml:space="preserve">-0.4014</w:t>
            </w:r>
          </w:p>
        </w:tc>
        <w:tc>
          <w:p>
            <w:pPr>
              <w:pStyle w:val="Compact"/>
              <w:jc w:val="left"/>
            </w:pPr>
            <w:r>
              <w:t xml:space="preserve">-0.5854</w:t>
            </w:r>
          </w:p>
        </w:tc>
      </w:tr>
      <w:tr>
        <w:tc>
          <w:p>
            <w:pPr>
              <w:pStyle w:val="Compact"/>
              <w:jc w:val="left"/>
            </w:pPr>
            <w:r>
              <w:t xml:space="preserve">Mean inc. Cost ( £ )</w:t>
            </w:r>
          </w:p>
        </w:tc>
        <w:tc>
          <w:p>
            <w:pPr>
              <w:pStyle w:val="Compact"/>
              <w:jc w:val="left"/>
            </w:pPr>
            <w:r>
              <w:t xml:space="preserve">-265.05</w:t>
            </w:r>
          </w:p>
        </w:tc>
        <w:tc>
          <w:p>
            <w:pPr>
              <w:pStyle w:val="Compact"/>
              <w:jc w:val="left"/>
            </w:pPr>
            <w:r>
              <w:t xml:space="preserve">-352.34</w:t>
            </w:r>
          </w:p>
        </w:tc>
        <w:tc>
          <w:p>
            <w:pPr>
              <w:pStyle w:val="Compact"/>
              <w:jc w:val="left"/>
            </w:pPr>
            <w:r>
              <w:t xml:space="preserve">336.01</w:t>
            </w:r>
          </w:p>
        </w:tc>
        <w:tc>
          <w:p>
            <w:pPr>
              <w:pStyle w:val="Compact"/>
              <w:jc w:val="left"/>
            </w:pPr>
            <w:r>
              <w:t xml:space="preserve">-152.21</w:t>
            </w:r>
          </w:p>
        </w:tc>
        <w:tc>
          <w:p>
            <w:pPr>
              <w:pStyle w:val="Compact"/>
              <w:jc w:val="left"/>
            </w:pPr>
            <w:r>
              <w:t xml:space="preserve">-331.10</w:t>
            </w:r>
          </w:p>
        </w:tc>
        <w:tc>
          <w:p>
            <w:pPr>
              <w:pStyle w:val="Compact"/>
              <w:jc w:val="left"/>
            </w:pPr>
            <w:r>
              <w:t xml:space="preserve">-173.83</w:t>
            </w:r>
          </w:p>
        </w:tc>
        <w:tc>
          <w:p>
            <w:pPr>
              <w:pStyle w:val="Compact"/>
              <w:jc w:val="left"/>
            </w:pPr>
            <w:r>
              <w:t xml:space="preserve">-264.22</w:t>
            </w:r>
          </w:p>
        </w:tc>
        <w:tc>
          <w:p>
            <w:pPr>
              <w:pStyle w:val="Compact"/>
              <w:jc w:val="left"/>
            </w:pPr>
            <w:r>
              <w:t xml:space="preserve">-339.67</w:t>
            </w:r>
          </w:p>
        </w:tc>
        <w:tc>
          <w:p>
            <w:pPr>
              <w:pStyle w:val="Compact"/>
              <w:jc w:val="left"/>
            </w:pPr>
            <w:r>
              <w:t xml:space="preserve">-135.28</w:t>
            </w:r>
          </w:p>
        </w:tc>
        <w:tc>
          <w:p>
            <w:pPr>
              <w:pStyle w:val="Compact"/>
              <w:jc w:val="left"/>
            </w:pPr>
            <w:r>
              <w:t xml:space="preserve">-241.76</w:t>
            </w:r>
          </w:p>
        </w:tc>
        <w:tc>
          <w:p>
            <w:pPr>
              <w:pStyle w:val="Compact"/>
              <w:jc w:val="left"/>
            </w:pPr>
            <w:r>
              <w:t xml:space="preserve">-329.86</w:t>
            </w:r>
          </w:p>
        </w:tc>
        <w:tc>
          <w:p>
            <w:pPr>
              <w:pStyle w:val="Compact"/>
              <w:jc w:val="left"/>
            </w:pPr>
            <w:r>
              <w:t xml:space="preserve">-287.03</w:t>
            </w:r>
          </w:p>
        </w:tc>
      </w:tr>
      <w:tr>
        <w:tc>
          <w:p>
            <w:pPr>
              <w:pStyle w:val="Compact"/>
              <w:jc w:val="left"/>
            </w:pPr>
            <w:r>
              <w:t xml:space="preserve">ICER Estimate ( £ per QALY )</w:t>
            </w:r>
          </w:p>
        </w:tc>
        <w:tc>
          <w:p>
            <w:pPr>
              <w:pStyle w:val="Compact"/>
              <w:jc w:val="left"/>
            </w:pPr>
            <w:r>
              <w:t xml:space="preserve">1694.48</w:t>
            </w:r>
          </w:p>
        </w:tc>
        <w:tc>
          <w:p>
            <w:pPr>
              <w:pStyle w:val="Compact"/>
              <w:jc w:val="left"/>
            </w:pPr>
            <w:r>
              <w:t xml:space="preserve">970.96</w:t>
            </w:r>
          </w:p>
        </w:tc>
        <w:tc>
          <w:p>
            <w:pPr>
              <w:pStyle w:val="Compact"/>
              <w:jc w:val="left"/>
            </w:pPr>
            <w:r>
              <w:t xml:space="preserve">2748.10</w:t>
            </w:r>
          </w:p>
        </w:tc>
        <w:tc>
          <w:p>
            <w:pPr>
              <w:pStyle w:val="Compact"/>
              <w:jc w:val="left"/>
            </w:pPr>
            <w:r>
              <w:t xml:space="preserve">2079.73</w:t>
            </w:r>
          </w:p>
        </w:tc>
        <w:tc>
          <w:p>
            <w:pPr>
              <w:pStyle w:val="Compact"/>
              <w:jc w:val="left"/>
            </w:pPr>
            <w:r>
              <w:t xml:space="preserve">978.88</w:t>
            </w:r>
          </w:p>
        </w:tc>
        <w:tc>
          <w:p>
            <w:pPr>
              <w:pStyle w:val="Compact"/>
              <w:jc w:val="left"/>
            </w:pPr>
            <w:r>
              <w:t xml:space="preserve">426.72</w:t>
            </w:r>
          </w:p>
        </w:tc>
        <w:tc>
          <w:p>
            <w:pPr>
              <w:pStyle w:val="Compact"/>
              <w:jc w:val="left"/>
            </w:pPr>
            <w:r>
              <w:t xml:space="preserve">710.24</w:t>
            </w:r>
          </w:p>
        </w:tc>
        <w:tc>
          <w:p>
            <w:pPr>
              <w:pStyle w:val="Compact"/>
              <w:jc w:val="left"/>
            </w:pPr>
            <w:r>
              <w:t xml:space="preserve">838.32</w:t>
            </w:r>
          </w:p>
        </w:tc>
        <w:tc>
          <w:p>
            <w:pPr>
              <w:pStyle w:val="Compact"/>
              <w:jc w:val="left"/>
            </w:pPr>
            <w:r>
              <w:t xml:space="preserve">341.65</w:t>
            </w:r>
          </w:p>
        </w:tc>
        <w:tc>
          <w:p>
            <w:pPr>
              <w:pStyle w:val="Compact"/>
              <w:jc w:val="left"/>
            </w:pPr>
            <w:r>
              <w:t xml:space="preserve">668.43</w:t>
            </w:r>
          </w:p>
        </w:tc>
        <w:tc>
          <w:p>
            <w:pPr>
              <w:pStyle w:val="Compact"/>
              <w:jc w:val="left"/>
            </w:pPr>
            <w:r>
              <w:t xml:space="preserve">821.81</w:t>
            </w:r>
          </w:p>
        </w:tc>
        <w:tc>
          <w:p>
            <w:pPr>
              <w:pStyle w:val="Compact"/>
              <w:jc w:val="left"/>
            </w:pPr>
            <w:r>
              <w:t xml:space="preserve">490.28</w:t>
            </w:r>
          </w:p>
        </w:tc>
      </w:tr>
      <w:tr>
        <w:tc>
          <w:p>
            <w:pPr>
              <w:pStyle w:val="Compact"/>
              <w:jc w:val="left"/>
            </w:pPr>
            <w:r>
              <w:t xml:space="preserve">2.5th CI for inc. QALY</w:t>
            </w:r>
          </w:p>
        </w:tc>
        <w:tc>
          <w:p>
            <w:pPr>
              <w:pStyle w:val="Compact"/>
              <w:jc w:val="left"/>
            </w:pPr>
            <w:r>
              <w:t xml:space="preserve">-0.2575</w:t>
            </w:r>
          </w:p>
        </w:tc>
        <w:tc>
          <w:p>
            <w:pPr>
              <w:pStyle w:val="Compact"/>
              <w:jc w:val="left"/>
            </w:pPr>
            <w:r>
              <w:t xml:space="preserve">-0.5619</w:t>
            </w:r>
          </w:p>
        </w:tc>
        <w:tc>
          <w:p>
            <w:pPr>
              <w:pStyle w:val="Compact"/>
              <w:jc w:val="left"/>
            </w:pPr>
            <w:r>
              <w:t xml:space="preserve">0.0727</w:t>
            </w:r>
          </w:p>
        </w:tc>
        <w:tc>
          <w:p>
            <w:pPr>
              <w:pStyle w:val="Compact"/>
              <w:jc w:val="left"/>
            </w:pPr>
            <w:r>
              <w:t xml:space="preserve">-0.1497</w:t>
            </w:r>
          </w:p>
        </w:tc>
        <w:tc>
          <w:p>
            <w:pPr>
              <w:pStyle w:val="Compact"/>
              <w:jc w:val="left"/>
            </w:pPr>
            <w:r>
              <w:t xml:space="preserve">-0.5345</w:t>
            </w:r>
          </w:p>
        </w:tc>
        <w:tc>
          <w:p>
            <w:pPr>
              <w:pStyle w:val="Compact"/>
              <w:jc w:val="left"/>
            </w:pPr>
            <w:r>
              <w:t xml:space="preserve">-0.5562</w:t>
            </w:r>
          </w:p>
        </w:tc>
        <w:tc>
          <w:p>
            <w:pPr>
              <w:pStyle w:val="Compact"/>
              <w:jc w:val="left"/>
            </w:pPr>
            <w:r>
              <w:t xml:space="preserve">-0.5181</w:t>
            </w:r>
          </w:p>
        </w:tc>
        <w:tc>
          <w:p>
            <w:pPr>
              <w:pStyle w:val="Compact"/>
              <w:jc w:val="left"/>
            </w:pPr>
            <w:r>
              <w:t xml:space="preserve">-0.6007</w:t>
            </w:r>
          </w:p>
        </w:tc>
        <w:tc>
          <w:p>
            <w:pPr>
              <w:pStyle w:val="Compact"/>
              <w:jc w:val="left"/>
            </w:pPr>
            <w:r>
              <w:t xml:space="preserve">-0.5333</w:t>
            </w:r>
          </w:p>
        </w:tc>
        <w:tc>
          <w:p>
            <w:pPr>
              <w:pStyle w:val="Compact"/>
              <w:jc w:val="left"/>
            </w:pPr>
            <w:r>
              <w:t xml:space="preserve">-0.5003</w:t>
            </w:r>
          </w:p>
        </w:tc>
        <w:tc>
          <w:p>
            <w:pPr>
              <w:pStyle w:val="Compact"/>
              <w:jc w:val="left"/>
            </w:pPr>
            <w:r>
              <w:t xml:space="preserve">-0.5936</w:t>
            </w:r>
          </w:p>
        </w:tc>
        <w:tc>
          <w:p>
            <w:pPr>
              <w:pStyle w:val="Compact"/>
              <w:jc w:val="left"/>
            </w:pPr>
            <w:r>
              <w:t xml:space="preserve">-0.8206</w:t>
            </w:r>
          </w:p>
        </w:tc>
      </w:tr>
      <w:tr>
        <w:tc>
          <w:p>
            <w:pPr>
              <w:pStyle w:val="Compact"/>
              <w:jc w:val="left"/>
            </w:pPr>
            <w:r>
              <w:t xml:space="preserve">97.5th CI for inc. QALY</w:t>
            </w:r>
          </w:p>
        </w:tc>
        <w:tc>
          <w:p>
            <w:pPr>
              <w:pStyle w:val="Compact"/>
              <w:jc w:val="left"/>
            </w:pPr>
            <w:r>
              <w:t xml:space="preserve">-0.08301</w:t>
            </w:r>
          </w:p>
        </w:tc>
        <w:tc>
          <w:p>
            <w:pPr>
              <w:pStyle w:val="Compact"/>
              <w:jc w:val="left"/>
            </w:pPr>
            <w:r>
              <w:t xml:space="preserve">-0.20522</w:t>
            </w:r>
          </w:p>
        </w:tc>
        <w:tc>
          <w:p>
            <w:pPr>
              <w:pStyle w:val="Compact"/>
              <w:jc w:val="left"/>
            </w:pPr>
            <w:r>
              <w:t xml:space="preserve">0.18090</w:t>
            </w:r>
          </w:p>
        </w:tc>
        <w:tc>
          <w:p>
            <w:pPr>
              <w:pStyle w:val="Compact"/>
              <w:jc w:val="left"/>
            </w:pPr>
            <w:r>
              <w:t xml:space="preserve">-0.02523</w:t>
            </w:r>
          </w:p>
        </w:tc>
        <w:tc>
          <w:p>
            <w:pPr>
              <w:pStyle w:val="Compact"/>
              <w:jc w:val="left"/>
            </w:pPr>
            <w:r>
              <w:t xml:space="preserve">-0.18547</w:t>
            </w:r>
          </w:p>
        </w:tc>
        <w:tc>
          <w:p>
            <w:pPr>
              <w:pStyle w:val="Compact"/>
              <w:jc w:val="left"/>
            </w:pPr>
            <w:r>
              <w:t xml:space="preserve">-0.25983</w:t>
            </w:r>
          </w:p>
        </w:tc>
        <w:tc>
          <w:p>
            <w:pPr>
              <w:pStyle w:val="Compact"/>
              <w:jc w:val="left"/>
            </w:pPr>
            <w:r>
              <w:t xml:space="preserve">-0.23212</w:t>
            </w:r>
          </w:p>
        </w:tc>
        <w:tc>
          <w:p>
            <w:pPr>
              <w:pStyle w:val="Compact"/>
              <w:jc w:val="left"/>
            </w:pPr>
            <w:r>
              <w:t xml:space="preserve">-0.24157</w:t>
            </w:r>
          </w:p>
        </w:tc>
        <w:tc>
          <w:p>
            <w:pPr>
              <w:pStyle w:val="Compact"/>
              <w:jc w:val="left"/>
            </w:pPr>
            <w:r>
              <w:t xml:space="preserve">-0.25523</w:t>
            </w:r>
          </w:p>
        </w:tc>
        <w:tc>
          <w:p>
            <w:pPr>
              <w:pStyle w:val="Compact"/>
              <w:jc w:val="left"/>
            </w:pPr>
            <w:r>
              <w:t xml:space="preserve">-0.22714</w:t>
            </w:r>
          </w:p>
        </w:tc>
        <w:tc>
          <w:p>
            <w:pPr>
              <w:pStyle w:val="Compact"/>
              <w:jc w:val="left"/>
            </w:pPr>
            <w:r>
              <w:t xml:space="preserve">-0.23750</w:t>
            </w:r>
          </w:p>
        </w:tc>
        <w:tc>
          <w:p>
            <w:pPr>
              <w:pStyle w:val="Compact"/>
              <w:jc w:val="left"/>
            </w:pPr>
            <w:r>
              <w:t xml:space="preserve">-0.36578</w:t>
            </w:r>
          </w:p>
        </w:tc>
      </w:tr>
      <w:tr>
        <w:tc>
          <w:p>
            <w:pPr>
              <w:pStyle w:val="Compact"/>
              <w:jc w:val="left"/>
            </w:pPr>
            <w:r>
              <w:t xml:space="preserve">2.5th CI for inc. Costs ( £ )</w:t>
            </w:r>
          </w:p>
        </w:tc>
        <w:tc>
          <w:p>
            <w:pPr>
              <w:pStyle w:val="Compact"/>
              <w:jc w:val="left"/>
            </w:pPr>
            <w:r>
              <w:t xml:space="preserve">-446.93</w:t>
            </w:r>
          </w:p>
        </w:tc>
        <w:tc>
          <w:p>
            <w:pPr>
              <w:pStyle w:val="Compact"/>
              <w:jc w:val="left"/>
            </w:pPr>
            <w:r>
              <w:t xml:space="preserve">-768.66</w:t>
            </w:r>
          </w:p>
        </w:tc>
        <w:tc>
          <w:p>
            <w:pPr>
              <w:pStyle w:val="Compact"/>
              <w:jc w:val="left"/>
            </w:pPr>
            <w:r>
              <w:t xml:space="preserve">-452.40</w:t>
            </w:r>
          </w:p>
        </w:tc>
        <w:tc>
          <w:p>
            <w:pPr>
              <w:pStyle w:val="Compact"/>
              <w:jc w:val="left"/>
            </w:pPr>
            <w:r>
              <w:t xml:space="preserve">-397.75</w:t>
            </w:r>
          </w:p>
        </w:tc>
        <w:tc>
          <w:p>
            <w:pPr>
              <w:pStyle w:val="Compact"/>
              <w:jc w:val="left"/>
            </w:pPr>
            <w:r>
              <w:t xml:space="preserve">-613.04</w:t>
            </w:r>
          </w:p>
        </w:tc>
        <w:tc>
          <w:p>
            <w:pPr>
              <w:pStyle w:val="Compact"/>
              <w:jc w:val="left"/>
            </w:pPr>
            <w:r>
              <w:t xml:space="preserve">-749.60</w:t>
            </w:r>
          </w:p>
        </w:tc>
        <w:tc>
          <w:p>
            <w:pPr>
              <w:pStyle w:val="Compact"/>
              <w:jc w:val="left"/>
            </w:pPr>
            <w:r>
              <w:t xml:space="preserve">-770.15</w:t>
            </w:r>
          </w:p>
        </w:tc>
        <w:tc>
          <w:p>
            <w:pPr>
              <w:pStyle w:val="Compact"/>
              <w:jc w:val="left"/>
            </w:pPr>
            <w:r>
              <w:t xml:space="preserve">-824.53</w:t>
            </w:r>
          </w:p>
        </w:tc>
        <w:tc>
          <w:p>
            <w:pPr>
              <w:pStyle w:val="Compact"/>
              <w:jc w:val="left"/>
            </w:pPr>
            <w:r>
              <w:t xml:space="preserve">-666.03</w:t>
            </w:r>
          </w:p>
        </w:tc>
        <w:tc>
          <w:p>
            <w:pPr>
              <w:pStyle w:val="Compact"/>
              <w:jc w:val="left"/>
            </w:pPr>
            <w:r>
              <w:t xml:space="preserve">-693.90</w:t>
            </w:r>
          </w:p>
        </w:tc>
        <w:tc>
          <w:p>
            <w:pPr>
              <w:pStyle w:val="Compact"/>
              <w:jc w:val="left"/>
            </w:pPr>
            <w:r>
              <w:t xml:space="preserve">-780.54</w:t>
            </w:r>
          </w:p>
        </w:tc>
        <w:tc>
          <w:p>
            <w:pPr>
              <w:pStyle w:val="Compact"/>
              <w:jc w:val="left"/>
            </w:pPr>
            <w:r>
              <w:t xml:space="preserve">-1106.13</w:t>
            </w:r>
          </w:p>
        </w:tc>
      </w:tr>
      <w:tr>
        <w:tc>
          <w:p>
            <w:pPr>
              <w:pStyle w:val="Compact"/>
              <w:jc w:val="left"/>
            </w:pPr>
            <w:r>
              <w:t xml:space="preserve">97.5th CI for inc. Costs ( £ )</w:t>
            </w:r>
          </w:p>
        </w:tc>
        <w:tc>
          <w:p>
            <w:pPr>
              <w:pStyle w:val="Compact"/>
              <w:jc w:val="left"/>
            </w:pPr>
            <w:r>
              <w:t xml:space="preserve">13.74</w:t>
            </w:r>
          </w:p>
        </w:tc>
        <w:tc>
          <w:p>
            <w:pPr>
              <w:pStyle w:val="Compact"/>
              <w:jc w:val="left"/>
            </w:pPr>
            <w:r>
              <w:t xml:space="preserve">252.21</w:t>
            </w:r>
          </w:p>
        </w:tc>
        <w:tc>
          <w:p>
            <w:pPr>
              <w:pStyle w:val="Compact"/>
              <w:jc w:val="left"/>
            </w:pPr>
            <w:r>
              <w:t xml:space="preserve">883.68</w:t>
            </w:r>
          </w:p>
        </w:tc>
        <w:tc>
          <w:p>
            <w:pPr>
              <w:pStyle w:val="Compact"/>
              <w:jc w:val="left"/>
            </w:pPr>
            <w:r>
              <w:t xml:space="preserve">94.82</w:t>
            </w:r>
          </w:p>
        </w:tc>
        <w:tc>
          <w:p>
            <w:pPr>
              <w:pStyle w:val="Compact"/>
              <w:jc w:val="left"/>
            </w:pPr>
            <w:r>
              <w:t xml:space="preserve">135.40</w:t>
            </w:r>
          </w:p>
        </w:tc>
        <w:tc>
          <w:p>
            <w:pPr>
              <w:pStyle w:val="Compact"/>
              <w:jc w:val="left"/>
            </w:pPr>
            <w:r>
              <w:t xml:space="preserve">551.51</w:t>
            </w:r>
          </w:p>
        </w:tc>
        <w:tc>
          <w:p>
            <w:pPr>
              <w:pStyle w:val="Compact"/>
              <w:jc w:val="left"/>
            </w:pPr>
            <w:r>
              <w:t xml:space="preserve">382.59</w:t>
            </w:r>
          </w:p>
        </w:tc>
        <w:tc>
          <w:p>
            <w:pPr>
              <w:pStyle w:val="Compact"/>
              <w:jc w:val="left"/>
            </w:pPr>
            <w:r>
              <w:t xml:space="preserve">326.47</w:t>
            </w:r>
          </w:p>
        </w:tc>
        <w:tc>
          <w:p>
            <w:pPr>
              <w:pStyle w:val="Compact"/>
              <w:jc w:val="left"/>
            </w:pPr>
            <w:r>
              <w:t xml:space="preserve">516.85</w:t>
            </w:r>
          </w:p>
        </w:tc>
        <w:tc>
          <w:p>
            <w:pPr>
              <w:pStyle w:val="Compact"/>
              <w:jc w:val="left"/>
            </w:pPr>
            <w:r>
              <w:t xml:space="preserve">314.90</w:t>
            </w:r>
          </w:p>
        </w:tc>
        <w:tc>
          <w:p>
            <w:pPr>
              <w:pStyle w:val="Compact"/>
              <w:jc w:val="left"/>
            </w:pPr>
            <w:r>
              <w:t xml:space="preserve">298.06</w:t>
            </w:r>
          </w:p>
        </w:tc>
        <w:tc>
          <w:p>
            <w:pPr>
              <w:pStyle w:val="Compact"/>
              <w:jc w:val="left"/>
            </w:pPr>
            <w:r>
              <w:t xml:space="preserve">772.34</w:t>
            </w:r>
          </w:p>
        </w:tc>
      </w:tr>
      <w:tr>
        <w:tc>
          <w:p>
            <w:pPr>
              <w:pStyle w:val="Compact"/>
              <w:jc w:val="left"/>
            </w:pPr>
            <w:r>
              <w:t xml:space="preserve">Probability cost saving</w:t>
            </w:r>
          </w:p>
        </w:tc>
        <w:tc>
          <w:p>
            <w:pPr>
              <w:pStyle w:val="Compact"/>
              <w:jc w:val="left"/>
            </w:pPr>
            <w:r>
              <w:t xml:space="preserve">0.030</w:t>
            </w:r>
          </w:p>
        </w:tc>
        <w:tc>
          <w:p>
            <w:pPr>
              <w:pStyle w:val="Compact"/>
              <w:jc w:val="left"/>
            </w:pPr>
            <w:r>
              <w:t xml:space="preserve">0.116</w:t>
            </w:r>
          </w:p>
        </w:tc>
        <w:tc>
          <w:p>
            <w:pPr>
              <w:pStyle w:val="Compact"/>
              <w:jc w:val="left"/>
            </w:pPr>
            <w:r>
              <w:t xml:space="preserve">0.823</w:t>
            </w:r>
          </w:p>
        </w:tc>
        <w:tc>
          <w:p>
            <w:pPr>
              <w:pStyle w:val="Compact"/>
              <w:jc w:val="left"/>
            </w:pPr>
            <w:r>
              <w:t xml:space="preserve">0.140</w:t>
            </w:r>
          </w:p>
        </w:tc>
        <w:tc>
          <w:p>
            <w:pPr>
              <w:pStyle w:val="Compact"/>
              <w:jc w:val="left"/>
            </w:pPr>
            <w:r>
              <w:t xml:space="preserve">0.071</w:t>
            </w:r>
          </w:p>
        </w:tc>
        <w:tc>
          <w:p>
            <w:pPr>
              <w:pStyle w:val="Compact"/>
              <w:jc w:val="left"/>
            </w:pPr>
            <w:r>
              <w:t xml:space="preserve">0.317</w:t>
            </w:r>
          </w:p>
        </w:tc>
        <w:tc>
          <w:p>
            <w:pPr>
              <w:pStyle w:val="Compact"/>
              <w:jc w:val="left"/>
            </w:pPr>
            <w:r>
              <w:t xml:space="preserve">0.197</w:t>
            </w:r>
          </w:p>
        </w:tc>
        <w:tc>
          <w:p>
            <w:pPr>
              <w:pStyle w:val="Compact"/>
              <w:jc w:val="left"/>
            </w:pPr>
            <w:r>
              <w:t xml:space="preserve">0.146</w:t>
            </w:r>
          </w:p>
        </w:tc>
        <w:tc>
          <w:p>
            <w:pPr>
              <w:pStyle w:val="Compact"/>
              <w:jc w:val="left"/>
            </w:pPr>
            <w:r>
              <w:t xml:space="preserve">0.346</w:t>
            </w:r>
          </w:p>
        </w:tc>
        <w:tc>
          <w:p>
            <w:pPr>
              <w:pStyle w:val="Compact"/>
              <w:jc w:val="left"/>
            </w:pPr>
            <w:r>
              <w:t xml:space="preserve">0.189</w:t>
            </w:r>
          </w:p>
        </w:tc>
        <w:tc>
          <w:p>
            <w:pPr>
              <w:pStyle w:val="Compact"/>
              <w:jc w:val="left"/>
            </w:pPr>
            <w:r>
              <w:t xml:space="preserve">0.135</w:t>
            </w:r>
          </w:p>
        </w:tc>
        <w:tc>
          <w:p>
            <w:pPr>
              <w:pStyle w:val="Compact"/>
              <w:jc w:val="left"/>
            </w:pPr>
            <w:r>
              <w:t xml:space="preserve">0.292</w:t>
            </w:r>
          </w:p>
        </w:tc>
      </w:tr>
      <w:tr>
        <w:tc>
          <w:p>
            <w:pPr>
              <w:pStyle w:val="Compact"/>
              <w:jc w:val="left"/>
            </w:pPr>
            <w:r>
              <w:t xml:space="preserve">Probability more benefit</w:t>
            </w:r>
          </w:p>
        </w:tc>
        <w:tc>
          <w:p>
            <w:pPr>
              <w:pStyle w:val="Compact"/>
              <w:jc w:val="left"/>
            </w:pPr>
            <w:r>
              <w:t xml:space="preserve">0.000</w:t>
            </w:r>
          </w:p>
        </w:tc>
        <w:tc>
          <w:p>
            <w:pPr>
              <w:pStyle w:val="Compact"/>
              <w:jc w:val="left"/>
            </w:pPr>
            <w:r>
              <w:t xml:space="preserve">0.000</w:t>
            </w:r>
          </w:p>
        </w:tc>
        <w:tc>
          <w:p>
            <w:pPr>
              <w:pStyle w:val="Compact"/>
              <w:jc w:val="left"/>
            </w:pPr>
            <w:r>
              <w:t xml:space="preserve">1.000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r>
      <w:tr>
        <w:tc>
          <w:p>
            <w:pPr>
              <w:pStyle w:val="Compact"/>
              <w:jc w:val="left"/>
            </w:pPr>
            <w:r>
              <w:t xml:space="preserve">Probability cost-effective</w:t>
            </w:r>
          </w:p>
        </w:tc>
        <w:tc>
          <w:p>
            <w:pPr>
              <w:pStyle w:val="Compact"/>
              <w:jc w:val="left"/>
            </w:pPr>
            <w:r>
              <w:t xml:space="preserve">0.766</w:t>
            </w:r>
          </w:p>
        </w:tc>
        <w:tc>
          <w:p>
            <w:pPr>
              <w:pStyle w:val="Compact"/>
              <w:jc w:val="left"/>
            </w:pPr>
            <w:r>
              <w:t xml:space="preserve">0.534</w:t>
            </w:r>
          </w:p>
        </w:tc>
        <w:tc>
          <w:p>
            <w:pPr>
              <w:pStyle w:val="Compact"/>
              <w:jc w:val="left"/>
            </w:pPr>
            <w:r>
              <w:t xml:space="preserve">0.277</w:t>
            </w:r>
          </w:p>
        </w:tc>
        <w:tc>
          <w:p>
            <w:pPr>
              <w:pStyle w:val="Compact"/>
              <w:jc w:val="left"/>
            </w:pPr>
            <w:r>
              <w:t xml:space="preserve">0.759</w:t>
            </w:r>
          </w:p>
        </w:tc>
        <w:tc>
          <w:p>
            <w:pPr>
              <w:pStyle w:val="Compact"/>
              <w:jc w:val="left"/>
            </w:pPr>
            <w:r>
              <w:t xml:space="preserve">0.548</w:t>
            </w:r>
          </w:p>
        </w:tc>
        <w:tc>
          <w:p>
            <w:pPr>
              <w:pStyle w:val="Compact"/>
              <w:jc w:val="left"/>
            </w:pPr>
            <w:r>
              <w:t xml:space="preserve">0.332</w:t>
            </w:r>
          </w:p>
        </w:tc>
        <w:tc>
          <w:p>
            <w:pPr>
              <w:pStyle w:val="Compact"/>
              <w:jc w:val="left"/>
            </w:pPr>
            <w:r>
              <w:t xml:space="preserve">0.432</w:t>
            </w:r>
          </w:p>
        </w:tc>
        <w:tc>
          <w:p>
            <w:pPr>
              <w:pStyle w:val="Compact"/>
              <w:jc w:val="left"/>
            </w:pPr>
            <w:r>
              <w:t xml:space="preserve">0.473</w:t>
            </w:r>
          </w:p>
        </w:tc>
        <w:tc>
          <w:p>
            <w:pPr>
              <w:pStyle w:val="Compact"/>
              <w:jc w:val="left"/>
            </w:pPr>
            <w:r>
              <w:t xml:space="preserve">0.289</w:t>
            </w:r>
          </w:p>
        </w:tc>
        <w:tc>
          <w:p>
            <w:pPr>
              <w:pStyle w:val="Compact"/>
              <w:jc w:val="left"/>
            </w:pPr>
            <w:r>
              <w:t xml:space="preserve">0.414</w:t>
            </w:r>
          </w:p>
        </w:tc>
        <w:tc>
          <w:p>
            <w:pPr>
              <w:pStyle w:val="Compact"/>
              <w:jc w:val="left"/>
            </w:pPr>
            <w:r>
              <w:t xml:space="preserve">0.464</w:t>
            </w:r>
          </w:p>
        </w:tc>
        <w:tc>
          <w:p>
            <w:pPr>
              <w:pStyle w:val="Compact"/>
              <w:jc w:val="left"/>
            </w:pPr>
            <w:r>
              <w:t xml:space="preserve">0.365</w:t>
            </w:r>
          </w:p>
        </w:tc>
      </w:tr>
    </w:tbl>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610100" cy="36957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bookmarkStart w:id="26" w:name="the-cost-effectiveness-acceptability-curve"/>
    <w:p>
      <w:pPr>
        <w:pStyle w:val="Heading2"/>
      </w:pPr>
      <w:r>
        <w:t xml:space="preserve">2.3 The Cost-Effectiveness Acceptability Curve</w:t>
      </w:r>
    </w:p>
    <w:bookmarkEnd w:id="26"/>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X5, with a probability of 0.281.</w:t>
      </w:r>
    </w:p>
    <w:p>
      <w:r>
        <w:drawing>
          <wp:inline>
            <wp:extent cx="4610100" cy="36957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8" w:name="net-benefit-of-each-strategy"/>
    <w:p>
      <w:pPr>
        <w:pStyle w:val="Heading2"/>
      </w:pPr>
      <w:r>
        <w:t xml:space="preserve">2.4 Net Benefit of Each Strategy</w:t>
      </w:r>
    </w:p>
    <w:bookmarkEnd w:id="28"/>
    <w:bookmarkStart w:id="29" w:name="absolute-net-benefit"/>
    <w:p>
      <w:pPr>
        <w:pStyle w:val="Heading2"/>
      </w:pPr>
      <w:r>
        <w:t xml:space="preserve">2.4.1 Absolute Net Benefit</w:t>
      </w:r>
    </w:p>
    <w:bookmarkEnd w:id="29"/>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Mean QALYs</w:t>
            </w:r>
          </w:p>
        </w:tc>
        <w:tc>
          <w:p>
            <w:pPr>
              <w:pStyle w:val="Compact"/>
              <w:jc w:val="left"/>
            </w:pPr>
            <w:r>
              <w:t xml:space="preserve">9.5383</w:t>
            </w:r>
          </w:p>
        </w:tc>
        <w:tc>
          <w:p>
            <w:pPr>
              <w:pStyle w:val="Compact"/>
              <w:jc w:val="left"/>
            </w:pPr>
            <w:r>
              <w:t xml:space="preserve">9.3818</w:t>
            </w:r>
          </w:p>
        </w:tc>
        <w:tc>
          <w:p>
            <w:pPr>
              <w:pStyle w:val="Compact"/>
              <w:jc w:val="left"/>
            </w:pPr>
            <w:r>
              <w:t xml:space="preserve">9.1754</w:t>
            </w:r>
          </w:p>
        </w:tc>
        <w:tc>
          <w:p>
            <w:pPr>
              <w:pStyle w:val="Compact"/>
              <w:jc w:val="left"/>
            </w:pPr>
            <w:r>
              <w:t xml:space="preserve">9.6605</w:t>
            </w:r>
          </w:p>
        </w:tc>
        <w:tc>
          <w:p>
            <w:pPr>
              <w:pStyle w:val="Compact"/>
              <w:jc w:val="left"/>
            </w:pPr>
            <w:r>
              <w:t xml:space="preserve">9.4651</w:t>
            </w:r>
          </w:p>
        </w:tc>
        <w:tc>
          <w:p>
            <w:pPr>
              <w:pStyle w:val="Compact"/>
              <w:jc w:val="left"/>
            </w:pPr>
            <w:r>
              <w:t xml:space="preserve">9.2000</w:t>
            </w:r>
          </w:p>
        </w:tc>
        <w:tc>
          <w:p>
            <w:pPr>
              <w:pStyle w:val="Compact"/>
              <w:jc w:val="left"/>
            </w:pPr>
            <w:r>
              <w:t xml:space="preserve">9.1309</w:t>
            </w:r>
          </w:p>
        </w:tc>
        <w:tc>
          <w:p>
            <w:pPr>
              <w:pStyle w:val="Compact"/>
              <w:jc w:val="left"/>
            </w:pPr>
            <w:r>
              <w:t xml:space="preserve">9.1663</w:t>
            </w:r>
          </w:p>
        </w:tc>
        <w:tc>
          <w:p>
            <w:pPr>
              <w:pStyle w:val="Compact"/>
              <w:jc w:val="left"/>
            </w:pPr>
            <w:r>
              <w:t xml:space="preserve">9.1331</w:t>
            </w:r>
          </w:p>
        </w:tc>
        <w:tc>
          <w:p>
            <w:pPr>
              <w:pStyle w:val="Compact"/>
              <w:jc w:val="left"/>
            </w:pPr>
            <w:r>
              <w:t xml:space="preserve">9.1423</w:t>
            </w:r>
          </w:p>
        </w:tc>
        <w:tc>
          <w:p>
            <w:pPr>
              <w:pStyle w:val="Compact"/>
              <w:jc w:val="left"/>
            </w:pPr>
            <w:r>
              <w:t xml:space="preserve">9.1766</w:t>
            </w:r>
          </w:p>
        </w:tc>
        <w:tc>
          <w:p>
            <w:pPr>
              <w:pStyle w:val="Compact"/>
              <w:jc w:val="left"/>
            </w:pPr>
            <w:r>
              <w:t xml:space="preserve">9.1369</w:t>
            </w:r>
          </w:p>
        </w:tc>
        <w:tc>
          <w:p>
            <w:pPr>
              <w:pStyle w:val="Compact"/>
              <w:jc w:val="left"/>
            </w:pPr>
            <w:r>
              <w:t xml:space="preserve">8.9528</w:t>
            </w:r>
          </w:p>
        </w:tc>
      </w:tr>
      <w:tr>
        <w:tc>
          <w:p>
            <w:pPr>
              <w:pStyle w:val="Compact"/>
              <w:jc w:val="left"/>
            </w:pPr>
            <w:r>
              <w:t xml:space="preserve">Mean Costs (£)</w:t>
            </w:r>
          </w:p>
        </w:tc>
        <w:tc>
          <w:p>
            <w:pPr>
              <w:pStyle w:val="Compact"/>
              <w:jc w:val="left"/>
            </w:pPr>
            <w:r>
              <w:t xml:space="preserve">3370.19</w:t>
            </w:r>
          </w:p>
        </w:tc>
        <w:tc>
          <w:p>
            <w:pPr>
              <w:pStyle w:val="Compact"/>
              <w:jc w:val="left"/>
            </w:pPr>
            <w:r>
              <w:t xml:space="preserve">3105.14</w:t>
            </w:r>
          </w:p>
        </w:tc>
        <w:tc>
          <w:p>
            <w:pPr>
              <w:pStyle w:val="Compact"/>
              <w:jc w:val="left"/>
            </w:pPr>
            <w:r>
              <w:t xml:space="preserve">3017.85</w:t>
            </w:r>
          </w:p>
        </w:tc>
        <w:tc>
          <w:p>
            <w:pPr>
              <w:pStyle w:val="Compact"/>
              <w:jc w:val="left"/>
            </w:pPr>
            <w:r>
              <w:t xml:space="preserve">3706.20</w:t>
            </w:r>
          </w:p>
        </w:tc>
        <w:tc>
          <w:p>
            <w:pPr>
              <w:pStyle w:val="Compact"/>
              <w:jc w:val="left"/>
            </w:pPr>
            <w:r>
              <w:t xml:space="preserve">3217.98</w:t>
            </w:r>
          </w:p>
        </w:tc>
        <w:tc>
          <w:p>
            <w:pPr>
              <w:pStyle w:val="Compact"/>
              <w:jc w:val="left"/>
            </w:pPr>
            <w:r>
              <w:t xml:space="preserve">3039.09</w:t>
            </w:r>
          </w:p>
        </w:tc>
        <w:tc>
          <w:p>
            <w:pPr>
              <w:pStyle w:val="Compact"/>
              <w:jc w:val="left"/>
            </w:pPr>
            <w:r>
              <w:t xml:space="preserve">3196.36</w:t>
            </w:r>
          </w:p>
        </w:tc>
        <w:tc>
          <w:p>
            <w:pPr>
              <w:pStyle w:val="Compact"/>
              <w:jc w:val="left"/>
            </w:pPr>
            <w:r>
              <w:t xml:space="preserve">3105.97</w:t>
            </w:r>
          </w:p>
        </w:tc>
        <w:tc>
          <w:p>
            <w:pPr>
              <w:pStyle w:val="Compact"/>
              <w:jc w:val="left"/>
            </w:pPr>
            <w:r>
              <w:t xml:space="preserve">3030.51</w:t>
            </w:r>
          </w:p>
        </w:tc>
        <w:tc>
          <w:p>
            <w:pPr>
              <w:pStyle w:val="Compact"/>
              <w:jc w:val="left"/>
            </w:pPr>
            <w:r>
              <w:t xml:space="preserve">3234.91</w:t>
            </w:r>
          </w:p>
        </w:tc>
        <w:tc>
          <w:p>
            <w:pPr>
              <w:pStyle w:val="Compact"/>
              <w:jc w:val="left"/>
            </w:pPr>
            <w:r>
              <w:t xml:space="preserve">3128.43</w:t>
            </w:r>
          </w:p>
        </w:tc>
        <w:tc>
          <w:p>
            <w:pPr>
              <w:pStyle w:val="Compact"/>
              <w:jc w:val="left"/>
            </w:pPr>
            <w:r>
              <w:t xml:space="preserve">3040.33</w:t>
            </w:r>
          </w:p>
        </w:tc>
        <w:tc>
          <w:p>
            <w:pPr>
              <w:pStyle w:val="Compact"/>
              <w:jc w:val="left"/>
            </w:pPr>
            <w:r>
              <w:t xml:space="preserve">3083.16</w:t>
            </w:r>
          </w:p>
        </w:tc>
      </w:tr>
      <w:tr>
        <w:tc>
          <w:p>
            <w:pPr>
              <w:pStyle w:val="Compact"/>
              <w:jc w:val="left"/>
            </w:pPr>
            <w:r>
              <w:t xml:space="preserve">Expected Net Benefit at £ 1000 per QALY</w:t>
            </w:r>
          </w:p>
        </w:tc>
        <w:tc>
          <w:p>
            <w:pPr>
              <w:pStyle w:val="Compact"/>
              <w:jc w:val="left"/>
            </w:pPr>
            <w:r>
              <w:t xml:space="preserve">6168.07</w:t>
            </w:r>
          </w:p>
        </w:tc>
        <w:tc>
          <w:p>
            <w:pPr>
              <w:pStyle w:val="Compact"/>
              <w:jc w:val="left"/>
            </w:pPr>
            <w:r>
              <w:t xml:space="preserve">6276.71</w:t>
            </w:r>
          </w:p>
        </w:tc>
        <w:tc>
          <w:p>
            <w:pPr>
              <w:pStyle w:val="Compact"/>
              <w:jc w:val="left"/>
            </w:pPr>
            <w:r>
              <w:t xml:space="preserve">6157.54</w:t>
            </w:r>
          </w:p>
        </w:tc>
        <w:tc>
          <w:p>
            <w:pPr>
              <w:pStyle w:val="Compact"/>
              <w:jc w:val="left"/>
            </w:pPr>
            <w:r>
              <w:t xml:space="preserve">5954.34</w:t>
            </w:r>
          </w:p>
        </w:tc>
        <w:tc>
          <w:p>
            <w:pPr>
              <w:pStyle w:val="Compact"/>
              <w:jc w:val="left"/>
            </w:pPr>
            <w:r>
              <w:t xml:space="preserve">6247.10</w:t>
            </w:r>
          </w:p>
        </w:tc>
        <w:tc>
          <w:p>
            <w:pPr>
              <w:pStyle w:val="Compact"/>
              <w:jc w:val="left"/>
            </w:pPr>
            <w:r>
              <w:t xml:space="preserve">6160.93</w:t>
            </w:r>
          </w:p>
        </w:tc>
        <w:tc>
          <w:p>
            <w:pPr>
              <w:pStyle w:val="Compact"/>
              <w:jc w:val="left"/>
            </w:pPr>
            <w:r>
              <w:t xml:space="preserve">5934.54</w:t>
            </w:r>
          </w:p>
        </w:tc>
        <w:tc>
          <w:p>
            <w:pPr>
              <w:pStyle w:val="Compact"/>
              <w:jc w:val="left"/>
            </w:pPr>
            <w:r>
              <w:t xml:space="preserve">6060.28</w:t>
            </w:r>
          </w:p>
        </w:tc>
        <w:tc>
          <w:p>
            <w:pPr>
              <w:pStyle w:val="Compact"/>
              <w:jc w:val="left"/>
            </w:pPr>
            <w:r>
              <w:t xml:space="preserve">6102.56</w:t>
            </w:r>
          </w:p>
        </w:tc>
        <w:tc>
          <w:p>
            <w:pPr>
              <w:pStyle w:val="Compact"/>
              <w:jc w:val="left"/>
            </w:pPr>
            <w:r>
              <w:t xml:space="preserve">5907.40</w:t>
            </w:r>
          </w:p>
        </w:tc>
        <w:tc>
          <w:p>
            <w:pPr>
              <w:pStyle w:val="Compact"/>
              <w:jc w:val="left"/>
            </w:pPr>
            <w:r>
              <w:t xml:space="preserve">6048.15</w:t>
            </w:r>
          </w:p>
        </w:tc>
        <w:tc>
          <w:p>
            <w:pPr>
              <w:pStyle w:val="Compact"/>
              <w:jc w:val="left"/>
            </w:pPr>
            <w:r>
              <w:t xml:space="preserve">6096.55</w:t>
            </w:r>
          </w:p>
        </w:tc>
        <w:tc>
          <w:p>
            <w:pPr>
              <w:pStyle w:val="Compact"/>
              <w:jc w:val="left"/>
            </w:pPr>
            <w:r>
              <w:t xml:space="preserve">5869.66</w:t>
            </w:r>
          </w:p>
        </w:tc>
      </w:tr>
      <w:tr>
        <w:tc>
          <w:p>
            <w:pPr>
              <w:pStyle w:val="Compact"/>
              <w:jc w:val="left"/>
            </w:pPr>
            <w:r>
              <w:t xml:space="preserve">95% Lower CI (on Costs Scale)</w:t>
            </w:r>
          </w:p>
        </w:tc>
        <w:tc>
          <w:p>
            <w:pPr>
              <w:pStyle w:val="Compact"/>
              <w:jc w:val="left"/>
            </w:pPr>
            <w:r>
              <w:t xml:space="preserve">3066.77</w:t>
            </w:r>
          </w:p>
        </w:tc>
        <w:tc>
          <w:p>
            <w:pPr>
              <w:pStyle w:val="Compact"/>
              <w:jc w:val="left"/>
            </w:pPr>
            <w:r>
              <w:t xml:space="preserve">2784.67</w:t>
            </w:r>
          </w:p>
        </w:tc>
        <w:tc>
          <w:p>
            <w:pPr>
              <w:pStyle w:val="Compact"/>
              <w:jc w:val="left"/>
            </w:pPr>
            <w:r>
              <w:t xml:space="preserve">2259.79</w:t>
            </w:r>
          </w:p>
        </w:tc>
        <w:tc>
          <w:p>
            <w:pPr>
              <w:pStyle w:val="Compact"/>
              <w:jc w:val="left"/>
            </w:pPr>
            <w:r>
              <w:t xml:space="preserve">3639.75</w:t>
            </w:r>
          </w:p>
        </w:tc>
        <w:tc>
          <w:p>
            <w:pPr>
              <w:pStyle w:val="Compact"/>
              <w:jc w:val="left"/>
            </w:pPr>
            <w:r>
              <w:t xml:space="preserve">3346.74</w:t>
            </w:r>
          </w:p>
        </w:tc>
        <w:tc>
          <w:p>
            <w:pPr>
              <w:pStyle w:val="Compact"/>
              <w:jc w:val="left"/>
            </w:pPr>
            <w:r>
              <w:t xml:space="preserve">2393.06</w:t>
            </w:r>
          </w:p>
        </w:tc>
        <w:tc>
          <w:p>
            <w:pPr>
              <w:pStyle w:val="Compact"/>
              <w:jc w:val="left"/>
            </w:pPr>
            <w:r>
              <w:t xml:space="preserve">1983.84</w:t>
            </w:r>
          </w:p>
        </w:tc>
        <w:tc>
          <w:p>
            <w:pPr>
              <w:pStyle w:val="Compact"/>
              <w:jc w:val="left"/>
            </w:pPr>
            <w:r>
              <w:t xml:space="preserve">2158.63</w:t>
            </w:r>
          </w:p>
        </w:tc>
        <w:tc>
          <w:p>
            <w:pPr>
              <w:pStyle w:val="Compact"/>
              <w:jc w:val="left"/>
            </w:pPr>
            <w:r>
              <w:t xml:space="preserve">2162.94</w:t>
            </w:r>
          </w:p>
        </w:tc>
        <w:tc>
          <w:p>
            <w:pPr>
              <w:pStyle w:val="Compact"/>
              <w:jc w:val="left"/>
            </w:pPr>
            <w:r>
              <w:t xml:space="preserve">2021.43</w:t>
            </w:r>
          </w:p>
        </w:tc>
        <w:tc>
          <w:p>
            <w:pPr>
              <w:pStyle w:val="Compact"/>
              <w:jc w:val="left"/>
            </w:pPr>
            <w:r>
              <w:t xml:space="preserve">2266.50</w:t>
            </w:r>
          </w:p>
        </w:tc>
        <w:tc>
          <w:p>
            <w:pPr>
              <w:pStyle w:val="Compact"/>
              <w:jc w:val="left"/>
            </w:pPr>
            <w:r>
              <w:t xml:space="preserve">2190.03</w:t>
            </w:r>
          </w:p>
        </w:tc>
        <w:tc>
          <w:p>
            <w:pPr>
              <w:pStyle w:val="Compact"/>
              <w:jc w:val="left"/>
            </w:pPr>
            <w:r>
              <w:t xml:space="preserve">1476.45</w:t>
            </w:r>
          </w:p>
        </w:tc>
      </w:tr>
      <w:tr>
        <w:tc>
          <w:p>
            <w:pPr>
              <w:pStyle w:val="Compact"/>
              <w:jc w:val="left"/>
            </w:pPr>
            <w:r>
              <w:t xml:space="preserve">95% Upper CI (on Costs Scale)</w:t>
            </w:r>
          </w:p>
        </w:tc>
        <w:tc>
          <w:p>
            <w:pPr>
              <w:pStyle w:val="Compact"/>
              <w:jc w:val="left"/>
            </w:pPr>
            <w:r>
              <w:t xml:space="preserve">7805.29</w:t>
            </w:r>
          </w:p>
        </w:tc>
        <w:tc>
          <w:p>
            <w:pPr>
              <w:pStyle w:val="Compact"/>
              <w:jc w:val="left"/>
            </w:pPr>
            <w:r>
              <w:t xml:space="preserve">8144.96</w:t>
            </w:r>
          </w:p>
        </w:tc>
        <w:tc>
          <w:p>
            <w:pPr>
              <w:pStyle w:val="Compact"/>
              <w:jc w:val="left"/>
            </w:pPr>
            <w:r>
              <w:t xml:space="preserve">8313.36</w:t>
            </w:r>
          </w:p>
        </w:tc>
        <w:tc>
          <w:p>
            <w:pPr>
              <w:pStyle w:val="Compact"/>
              <w:jc w:val="left"/>
            </w:pPr>
            <w:r>
              <w:t xml:space="preserve">7112.39</w:t>
            </w:r>
          </w:p>
        </w:tc>
        <w:tc>
          <w:p>
            <w:pPr>
              <w:pStyle w:val="Compact"/>
              <w:jc w:val="left"/>
            </w:pPr>
            <w:r>
              <w:t xml:space="preserve">7746.07</w:t>
            </w:r>
          </w:p>
        </w:tc>
        <w:tc>
          <w:p>
            <w:pPr>
              <w:pStyle w:val="Compact"/>
              <w:jc w:val="left"/>
            </w:pPr>
            <w:r>
              <w:t xml:space="preserve">8183.16</w:t>
            </w:r>
          </w:p>
        </w:tc>
        <w:tc>
          <w:p>
            <w:pPr>
              <w:pStyle w:val="Compact"/>
              <w:jc w:val="left"/>
            </w:pPr>
            <w:r>
              <w:t xml:space="preserve">8242.91</w:t>
            </w:r>
          </w:p>
        </w:tc>
        <w:tc>
          <w:p>
            <w:pPr>
              <w:pStyle w:val="Compact"/>
              <w:jc w:val="left"/>
            </w:pPr>
            <w:r>
              <w:t xml:space="preserve">8286.61</w:t>
            </w:r>
          </w:p>
        </w:tc>
        <w:tc>
          <w:p>
            <w:pPr>
              <w:pStyle w:val="Compact"/>
              <w:jc w:val="left"/>
            </w:pPr>
            <w:r>
              <w:t xml:space="preserve">8326.44</w:t>
            </w:r>
          </w:p>
        </w:tc>
        <w:tc>
          <w:p>
            <w:pPr>
              <w:pStyle w:val="Compact"/>
              <w:jc w:val="left"/>
            </w:pPr>
            <w:r>
              <w:t xml:space="preserve">8162.43</w:t>
            </w:r>
          </w:p>
        </w:tc>
        <w:tc>
          <w:p>
            <w:pPr>
              <w:pStyle w:val="Compact"/>
              <w:jc w:val="left"/>
            </w:pPr>
            <w:r>
              <w:t xml:space="preserve">8215.09</w:t>
            </w:r>
          </w:p>
        </w:tc>
        <w:tc>
          <w:p>
            <w:pPr>
              <w:pStyle w:val="Compact"/>
              <w:jc w:val="left"/>
            </w:pPr>
            <w:r>
              <w:t xml:space="preserve">8290.50</w:t>
            </w:r>
          </w:p>
        </w:tc>
        <w:tc>
          <w:p>
            <w:pPr>
              <w:pStyle w:val="Compact"/>
              <w:jc w:val="left"/>
            </w:pPr>
            <w:r>
              <w:t xml:space="preserve">8451.60</w:t>
            </w:r>
          </w:p>
        </w:tc>
      </w:tr>
      <w:tr>
        <w:tc>
          <w:p>
            <w:pPr>
              <w:pStyle w:val="Compact"/>
              <w:jc w:val="left"/>
            </w:pPr>
            <w:r>
              <w:t xml:space="preserve">Expected Net Benefit on Effects Scale</w:t>
            </w:r>
          </w:p>
        </w:tc>
        <w:tc>
          <w:p>
            <w:pPr>
              <w:pStyle w:val="Compact"/>
              <w:jc w:val="left"/>
            </w:pPr>
            <w:r>
              <w:t xml:space="preserve">6.1681</w:t>
            </w:r>
          </w:p>
        </w:tc>
        <w:tc>
          <w:p>
            <w:pPr>
              <w:pStyle w:val="Compact"/>
              <w:jc w:val="left"/>
            </w:pPr>
            <w:r>
              <w:t xml:space="preserve">6.2767</w:t>
            </w:r>
          </w:p>
        </w:tc>
        <w:tc>
          <w:p>
            <w:pPr>
              <w:pStyle w:val="Compact"/>
              <w:jc w:val="left"/>
            </w:pPr>
            <w:r>
              <w:t xml:space="preserve">6.1575</w:t>
            </w:r>
          </w:p>
        </w:tc>
        <w:tc>
          <w:p>
            <w:pPr>
              <w:pStyle w:val="Compact"/>
              <w:jc w:val="left"/>
            </w:pPr>
            <w:r>
              <w:t xml:space="preserve">5.9543</w:t>
            </w:r>
          </w:p>
        </w:tc>
        <w:tc>
          <w:p>
            <w:pPr>
              <w:pStyle w:val="Compact"/>
              <w:jc w:val="left"/>
            </w:pPr>
            <w:r>
              <w:t xml:space="preserve">6.2471</w:t>
            </w:r>
          </w:p>
        </w:tc>
        <w:tc>
          <w:p>
            <w:pPr>
              <w:pStyle w:val="Compact"/>
              <w:jc w:val="left"/>
            </w:pPr>
            <w:r>
              <w:t xml:space="preserve">6.1609</w:t>
            </w:r>
          </w:p>
        </w:tc>
        <w:tc>
          <w:p>
            <w:pPr>
              <w:pStyle w:val="Compact"/>
              <w:jc w:val="left"/>
            </w:pPr>
            <w:r>
              <w:t xml:space="preserve">5.9345</w:t>
            </w:r>
          </w:p>
        </w:tc>
        <w:tc>
          <w:p>
            <w:pPr>
              <w:pStyle w:val="Compact"/>
              <w:jc w:val="left"/>
            </w:pPr>
            <w:r>
              <w:t xml:space="preserve">6.0603</w:t>
            </w:r>
          </w:p>
        </w:tc>
        <w:tc>
          <w:p>
            <w:pPr>
              <w:pStyle w:val="Compact"/>
              <w:jc w:val="left"/>
            </w:pPr>
            <w:r>
              <w:t xml:space="preserve">6.1026</w:t>
            </w:r>
          </w:p>
        </w:tc>
        <w:tc>
          <w:p>
            <w:pPr>
              <w:pStyle w:val="Compact"/>
              <w:jc w:val="left"/>
            </w:pPr>
            <w:r>
              <w:t xml:space="preserve">5.9074</w:t>
            </w:r>
          </w:p>
        </w:tc>
        <w:tc>
          <w:p>
            <w:pPr>
              <w:pStyle w:val="Compact"/>
              <w:jc w:val="left"/>
            </w:pPr>
            <w:r>
              <w:t xml:space="preserve">6.0482</w:t>
            </w:r>
          </w:p>
        </w:tc>
        <w:tc>
          <w:p>
            <w:pPr>
              <w:pStyle w:val="Compact"/>
              <w:jc w:val="left"/>
            </w:pPr>
            <w:r>
              <w:t xml:space="preserve">6.0966</w:t>
            </w:r>
          </w:p>
        </w:tc>
        <w:tc>
          <w:p>
            <w:pPr>
              <w:pStyle w:val="Compact"/>
              <w:jc w:val="left"/>
            </w:pPr>
            <w:r>
              <w:t xml:space="preserve">5.8697</w:t>
            </w:r>
          </w:p>
        </w:tc>
      </w:tr>
      <w:tr>
        <w:tc>
          <w:p>
            <w:pPr>
              <w:pStyle w:val="Compact"/>
              <w:jc w:val="left"/>
            </w:pPr>
            <w:r>
              <w:t xml:space="preserve">95% Lower CI (on Effects Scale)</w:t>
            </w:r>
          </w:p>
        </w:tc>
        <w:tc>
          <w:p>
            <w:pPr>
              <w:pStyle w:val="Compact"/>
              <w:jc w:val="left"/>
            </w:pPr>
            <w:r>
              <w:t xml:space="preserve">3.0668</w:t>
            </w:r>
          </w:p>
        </w:tc>
        <w:tc>
          <w:p>
            <w:pPr>
              <w:pStyle w:val="Compact"/>
              <w:jc w:val="left"/>
            </w:pPr>
            <w:r>
              <w:t xml:space="preserve">2.7847</w:t>
            </w:r>
          </w:p>
        </w:tc>
        <w:tc>
          <w:p>
            <w:pPr>
              <w:pStyle w:val="Compact"/>
              <w:jc w:val="left"/>
            </w:pPr>
            <w:r>
              <w:t xml:space="preserve">2.2598</w:t>
            </w:r>
          </w:p>
        </w:tc>
        <w:tc>
          <w:p>
            <w:pPr>
              <w:pStyle w:val="Compact"/>
              <w:jc w:val="left"/>
            </w:pPr>
            <w:r>
              <w:t xml:space="preserve">3.6397</w:t>
            </w:r>
          </w:p>
        </w:tc>
        <w:tc>
          <w:p>
            <w:pPr>
              <w:pStyle w:val="Compact"/>
              <w:jc w:val="left"/>
            </w:pPr>
            <w:r>
              <w:t xml:space="preserve">3.3467</w:t>
            </w:r>
          </w:p>
        </w:tc>
        <w:tc>
          <w:p>
            <w:pPr>
              <w:pStyle w:val="Compact"/>
              <w:jc w:val="left"/>
            </w:pPr>
            <w:r>
              <w:t xml:space="preserve">2.3931</w:t>
            </w:r>
          </w:p>
        </w:tc>
        <w:tc>
          <w:p>
            <w:pPr>
              <w:pStyle w:val="Compact"/>
              <w:jc w:val="left"/>
            </w:pPr>
            <w:r>
              <w:t xml:space="preserve">1.9838</w:t>
            </w:r>
          </w:p>
        </w:tc>
        <w:tc>
          <w:p>
            <w:pPr>
              <w:pStyle w:val="Compact"/>
              <w:jc w:val="left"/>
            </w:pPr>
            <w:r>
              <w:t xml:space="preserve">2.1586</w:t>
            </w:r>
          </w:p>
        </w:tc>
        <w:tc>
          <w:p>
            <w:pPr>
              <w:pStyle w:val="Compact"/>
              <w:jc w:val="left"/>
            </w:pPr>
            <w:r>
              <w:t xml:space="preserve">2.1629</w:t>
            </w:r>
          </w:p>
        </w:tc>
        <w:tc>
          <w:p>
            <w:pPr>
              <w:pStyle w:val="Compact"/>
              <w:jc w:val="left"/>
            </w:pPr>
            <w:r>
              <w:t xml:space="preserve">2.0214</w:t>
            </w:r>
          </w:p>
        </w:tc>
        <w:tc>
          <w:p>
            <w:pPr>
              <w:pStyle w:val="Compact"/>
              <w:jc w:val="left"/>
            </w:pPr>
            <w:r>
              <w:t xml:space="preserve">2.2665</w:t>
            </w:r>
          </w:p>
        </w:tc>
        <w:tc>
          <w:p>
            <w:pPr>
              <w:pStyle w:val="Compact"/>
              <w:jc w:val="left"/>
            </w:pPr>
            <w:r>
              <w:t xml:space="preserve">2.1900</w:t>
            </w:r>
          </w:p>
        </w:tc>
        <w:tc>
          <w:p>
            <w:pPr>
              <w:pStyle w:val="Compact"/>
              <w:jc w:val="left"/>
            </w:pPr>
            <w:r>
              <w:t xml:space="preserve">1.4764</w:t>
            </w:r>
          </w:p>
        </w:tc>
      </w:tr>
      <w:tr>
        <w:tc>
          <w:p>
            <w:pPr>
              <w:pStyle w:val="Compact"/>
              <w:jc w:val="left"/>
            </w:pPr>
            <w:r>
              <w:t xml:space="preserve">95% Upper CI (on Effects Scale)</w:t>
            </w:r>
          </w:p>
        </w:tc>
        <w:tc>
          <w:p>
            <w:pPr>
              <w:pStyle w:val="Compact"/>
              <w:jc w:val="left"/>
            </w:pPr>
            <w:r>
              <w:t xml:space="preserve">7.8053</w:t>
            </w:r>
          </w:p>
        </w:tc>
        <w:tc>
          <w:p>
            <w:pPr>
              <w:pStyle w:val="Compact"/>
              <w:jc w:val="left"/>
            </w:pPr>
            <w:r>
              <w:t xml:space="preserve">8.1450</w:t>
            </w:r>
          </w:p>
        </w:tc>
        <w:tc>
          <w:p>
            <w:pPr>
              <w:pStyle w:val="Compact"/>
              <w:jc w:val="left"/>
            </w:pPr>
            <w:r>
              <w:t xml:space="preserve">8.3134</w:t>
            </w:r>
          </w:p>
        </w:tc>
        <w:tc>
          <w:p>
            <w:pPr>
              <w:pStyle w:val="Compact"/>
              <w:jc w:val="left"/>
            </w:pPr>
            <w:r>
              <w:t xml:space="preserve">7.1124</w:t>
            </w:r>
          </w:p>
        </w:tc>
        <w:tc>
          <w:p>
            <w:pPr>
              <w:pStyle w:val="Compact"/>
              <w:jc w:val="left"/>
            </w:pPr>
            <w:r>
              <w:t xml:space="preserve">7.7461</w:t>
            </w:r>
          </w:p>
        </w:tc>
        <w:tc>
          <w:p>
            <w:pPr>
              <w:pStyle w:val="Compact"/>
              <w:jc w:val="left"/>
            </w:pPr>
            <w:r>
              <w:t xml:space="preserve">8.1832</w:t>
            </w:r>
          </w:p>
        </w:tc>
        <w:tc>
          <w:p>
            <w:pPr>
              <w:pStyle w:val="Compact"/>
              <w:jc w:val="left"/>
            </w:pPr>
            <w:r>
              <w:t xml:space="preserve">8.2429</w:t>
            </w:r>
          </w:p>
        </w:tc>
        <w:tc>
          <w:p>
            <w:pPr>
              <w:pStyle w:val="Compact"/>
              <w:jc w:val="left"/>
            </w:pPr>
            <w:r>
              <w:t xml:space="preserve">8.2866</w:t>
            </w:r>
          </w:p>
        </w:tc>
        <w:tc>
          <w:p>
            <w:pPr>
              <w:pStyle w:val="Compact"/>
              <w:jc w:val="left"/>
            </w:pPr>
            <w:r>
              <w:t xml:space="preserve">8.3264</w:t>
            </w:r>
          </w:p>
        </w:tc>
        <w:tc>
          <w:p>
            <w:pPr>
              <w:pStyle w:val="Compact"/>
              <w:jc w:val="left"/>
            </w:pPr>
            <w:r>
              <w:t xml:space="preserve">8.1624</w:t>
            </w:r>
          </w:p>
        </w:tc>
        <w:tc>
          <w:p>
            <w:pPr>
              <w:pStyle w:val="Compact"/>
              <w:jc w:val="left"/>
            </w:pPr>
            <w:r>
              <w:t xml:space="preserve">8.2151</w:t>
            </w:r>
          </w:p>
        </w:tc>
        <w:tc>
          <w:p>
            <w:pPr>
              <w:pStyle w:val="Compact"/>
              <w:jc w:val="left"/>
            </w:pPr>
            <w:r>
              <w:t xml:space="preserve">8.2905</w:t>
            </w:r>
          </w:p>
        </w:tc>
        <w:tc>
          <w:p>
            <w:pPr>
              <w:pStyle w:val="Compact"/>
              <w:jc w:val="left"/>
            </w:pPr>
            <w:r>
              <w:t xml:space="preserve">8.4516</w:t>
            </w:r>
          </w:p>
        </w:tc>
      </w:tr>
    </w:tbl>
    <w:bookmarkStart w:id="30" w:name="incremental-net-benefit-of-compared-with-the-optimal-comparator"/>
    <w:p>
      <w:pPr>
        <w:pStyle w:val="Heading2"/>
      </w:pPr>
      <w:r>
        <w:t xml:space="preserve">2.4.2 Incremental Net Benefit of compared with the optimal comparator</w:t>
      </w:r>
    </w:p>
    <w:bookmarkEnd w:id="30"/>
    <w:p>
      <w:r>
        <w:t xml:space="preserve">The graph shows the incremental expected net benefit of the strategies compared with X2.</w:t>
      </w:r>
    </w:p>
    <w:p>
      <w:r>
        <w:drawing>
          <wp:inline>
            <wp:extent cx="4610100" cy="3695700"/>
            <wp:effectExtent b="0" l="0" r="0" t="0"/>
            <wp:docPr descr=""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net-benefit-density-plots"/>
    <w:p>
      <w:pPr>
        <w:pStyle w:val="Heading2"/>
      </w:pPr>
      <w:r>
        <w:t xml:space="preserve">2.5 Net Benefit Density Plots</w:t>
      </w:r>
    </w:p>
    <w:bookmarkEnd w:id="32"/>
    <w:bookmarkStart w:id="33" w:name="absolute-net-benefit-1"/>
    <w:p>
      <w:pPr>
        <w:pStyle w:val="Heading2"/>
      </w:pPr>
      <w:r>
        <w:t xml:space="preserve">2.5.1 Absolute Net Benefit</w:t>
      </w:r>
    </w:p>
    <w:bookmarkEnd w:id="33"/>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610100" cy="36957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incremental-net-benefit-density-compared-with-optimal-strategy"/>
    <w:p>
      <w:pPr>
        <w:pStyle w:val="Heading2"/>
      </w:pPr>
      <w:r>
        <w:t xml:space="preserve">2.5.2 Incremental Net Benefit Density Compared with Optimal Strategy</w:t>
      </w:r>
    </w:p>
    <w:bookmarkEnd w:id="35"/>
    <w:p>
      <w:r>
        <w:t xml:space="preserve">Densities for the incremental net benefit of each strategy compared with X2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610100" cy="36957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7"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7"/>
    <w:bookmarkStart w:id="38" w:name="understanding-the-evpi"/>
    <w:p>
      <w:pPr>
        <w:pStyle w:val="Heading2"/>
      </w:pPr>
      <w:r>
        <w:t xml:space="preserve">3.1 Understanding the EVPI</w:t>
      </w:r>
    </w:p>
    <w:bookmarkEnd w:id="38"/>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9" w:name="overall-evpi"/>
    <w:p>
      <w:pPr>
        <w:pStyle w:val="Heading2"/>
      </w:pPr>
      <w:r>
        <w:t xml:space="preserve">3.2 Overall EVPI</w:t>
      </w:r>
    </w:p>
    <w:bookmarkEnd w:id="39"/>
    <w:p>
      <w:r>
        <w:t xml:space="preserve">The overall EVPI per person affected by the decision is estimated at £ 99 per person. This is equivalent to 99 QALY per person in decision uncertainty when valuing uncertainty on the QALY scale.</w:t>
      </w:r>
    </w:p>
    <w:p>
      <w:r>
        <w:t xml:space="preserve">Assuming an annual number of people affected by the decision of 10^{6}, the overall EVPI per year is £ 99 for .</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would in total be £ 99.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£ 99.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EVPI Financial Valuation ( £ )</w:t>
            </w:r>
          </w:p>
        </w:tc>
        <w:tc>
          <w:tcPr>
            <w:tcBorders>
              <w:bottom w:val="single"/>
            </w:tcBorders>
            <w:vAlign w:val="bottom"/>
          </w:tcPr>
          <w:p>
            <w:pPr>
              <w:pStyle w:val="Compact"/>
              <w:jc w:val="right"/>
            </w:pPr>
            <w:r>
              <w:t xml:space="preserve">EVPI QALY Valuation</w:t>
            </w:r>
          </w:p>
        </w:tc>
      </w:tr>
      <w:tr>
        <w:tc>
          <w:p>
            <w:pPr>
              <w:pStyle w:val="Compact"/>
              <w:jc w:val="left"/>
            </w:pPr>
            <w:r>
              <w:t xml:space="preserve">Per Person Affected by the Decision</w:t>
            </w:r>
          </w:p>
        </w:tc>
        <w:tc>
          <w:p>
            <w:pPr>
              <w:pStyle w:val="Compact"/>
              <w:jc w:val="right"/>
            </w:pPr>
            <w:r>
              <w:t xml:space="preserve">1.665e+02</w:t>
            </w:r>
          </w:p>
        </w:tc>
        <w:tc>
          <w:p>
            <w:pPr>
              <w:pStyle w:val="Compact"/>
              <w:jc w:val="right"/>
            </w:pPr>
            <w:r>
              <w:t xml:space="preserve">1.665e-01</w:t>
            </w:r>
          </w:p>
        </w:tc>
      </w:tr>
      <w:tr>
        <w:tc>
          <w:p>
            <w:pPr>
              <w:pStyle w:val="Compact"/>
              <w:jc w:val="left"/>
            </w:pPr>
            <w:r>
              <w:t xml:space="preserve">Assuming 1e+06 Persons Affected per Year</w:t>
            </w:r>
          </w:p>
        </w:tc>
        <w:tc>
          <w:p>
            <w:pPr>
              <w:pStyle w:val="Compact"/>
              <w:jc w:val="right"/>
            </w:pPr>
            <w:r>
              <w:t xml:space="preserve">1.665e+08</w:t>
            </w:r>
          </w:p>
        </w:tc>
        <w:tc>
          <w:p>
            <w:pPr>
              <w:pStyle w:val="Compact"/>
              <w:jc w:val="right"/>
            </w:pPr>
            <w:r>
              <w:t xml:space="preserve">1.665e+05</w:t>
            </w:r>
          </w:p>
        </w:tc>
      </w:tr>
      <w:tr>
        <w:tc>
          <w:p>
            <w:pPr>
              <w:pStyle w:val="Compact"/>
              <w:jc w:val="left"/>
            </w:pPr>
            <w:r>
              <w:t xml:space="preserve">Over 5 Years</w:t>
            </w:r>
          </w:p>
        </w:tc>
        <w:tc>
          <w:p>
            <w:pPr>
              <w:pStyle w:val="Compact"/>
              <w:jc w:val="right"/>
            </w:pPr>
            <w:r>
              <w:t xml:space="preserve">8.325e+08</w:t>
            </w:r>
          </w:p>
        </w:tc>
        <w:tc>
          <w:p>
            <w:pPr>
              <w:pStyle w:val="Compact"/>
              <w:jc w:val="right"/>
            </w:pPr>
            <w:r>
              <w:t xml:space="preserve">8.325e+05</w:t>
            </w:r>
          </w:p>
        </w:tc>
      </w:tr>
      <w:tr>
        <w:tc>
          <w:p>
            <w:pPr>
              <w:pStyle w:val="Compact"/>
              <w:jc w:val="left"/>
            </w:pPr>
            <w:r>
              <w:t xml:space="preserve">Over 10 Years</w:t>
            </w:r>
          </w:p>
        </w:tc>
        <w:tc>
          <w:p>
            <w:pPr>
              <w:pStyle w:val="Compact"/>
              <w:jc w:val="right"/>
            </w:pPr>
            <w:r>
              <w:t xml:space="preserve">1.665e+09</w:t>
            </w:r>
          </w:p>
        </w:tc>
        <w:tc>
          <w:p>
            <w:pPr>
              <w:pStyle w:val="Compact"/>
              <w:jc w:val="right"/>
            </w:pPr>
            <w:r>
              <w:t xml:space="preserve">1.665e+06</w:t>
            </w:r>
          </w:p>
        </w:tc>
      </w:tr>
      <w:tr>
        <w:tc>
          <w:p>
            <w:pPr>
              <w:pStyle w:val="Compact"/>
              <w:jc w:val="left"/>
            </w:pPr>
            <w:r>
              <w:t xml:space="preserve">Over 15 Years</w:t>
            </w:r>
          </w:p>
        </w:tc>
        <w:tc>
          <w:p>
            <w:pPr>
              <w:pStyle w:val="Compact"/>
              <w:jc w:val="right"/>
            </w:pPr>
            <w:r>
              <w:t xml:space="preserve">2.498e+09</w:t>
            </w:r>
          </w:p>
        </w:tc>
        <w:tc>
          <w:p>
            <w:pPr>
              <w:pStyle w:val="Compact"/>
              <w:jc w:val="right"/>
            </w:pPr>
            <w:r>
              <w:t xml:space="preserve">2.498e+06</w:t>
            </w:r>
          </w:p>
        </w:tc>
      </w:tr>
      <w:tr>
        <w:tc>
          <w:p>
            <w:pPr>
              <w:pStyle w:val="Compact"/>
              <w:jc w:val="left"/>
            </w:pPr>
            <w:r>
              <w:t xml:space="preserve">Over 20 years</w:t>
            </w:r>
          </w:p>
        </w:tc>
        <w:tc>
          <w:p>
            <w:pPr>
              <w:pStyle w:val="Compact"/>
              <w:jc w:val="right"/>
            </w:pPr>
            <w:r>
              <w:t xml:space="preserve">3.330e+09</w:t>
            </w:r>
          </w:p>
        </w:tc>
        <w:tc>
          <w:p>
            <w:pPr>
              <w:pStyle w:val="Compact"/>
              <w:jc w:val="right"/>
            </w:pPr>
            <w:r>
              <w:t xml:space="preserve">3.330e+06</w:t>
            </w:r>
          </w:p>
        </w:tc>
      </w:tr>
      <w:tr>
        <w:tc>
          <w:p>
            <w:pPr>
              <w:pStyle w:val="Compact"/>
              <w:jc w:val="left"/>
            </w:pPr>
            <w:r>
              <w:t xml:space="preserve">Over Decision Relevance Horizon ( 12 years)</w:t>
            </w:r>
          </w:p>
        </w:tc>
        <w:tc>
          <w:p>
            <w:pPr>
              <w:pStyle w:val="Compact"/>
              <w:jc w:val="right"/>
            </w:pPr>
            <w:r>
              <w:t xml:space="preserve">1.998e+09</w:t>
            </w:r>
          </w:p>
        </w:tc>
        <w:tc>
          <w:p>
            <w:pPr>
              <w:pStyle w:val="Compact"/>
              <w:jc w:val="right"/>
            </w:pPr>
            <w:r>
              <w:t xml:space="preserve">1.998e+06</w:t>
            </w:r>
          </w:p>
        </w:tc>
      </w:tr>
    </w:tbl>
    <w:p>
      <w:r>
        <w:drawing>
          <wp:inline>
            <wp:extent cx="4610100" cy="3695700"/>
            <wp:effectExtent b="0" l="0" r="0" t="0"/>
            <wp:docPr descr=""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44"/>
    <w:bookmarkStart w:id="45" w:name="single-parameter-evppi"/>
    <w:p>
      <w:pPr>
        <w:pStyle w:val="Heading2"/>
      </w:pPr>
      <w:r>
        <w:t xml:space="preserve">4.1 Single parameter EVPPI</w:t>
      </w:r>
    </w:p>
    <w:bookmarkEnd w:id="45"/>
    <w:bookmarkStart w:id="46" w:name="group-parameter-evppi"/>
    <w:p>
      <w:pPr>
        <w:pStyle w:val="Heading2"/>
      </w:pPr>
      <w:r>
        <w:t xml:space="preserve">4.1 Group parameter EVPPI</w:t>
      </w:r>
    </w:p>
    <w:bookmarkEnd w:id="4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f47c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