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The Gent-Terneuzen canal connects the port of Ghent to the Westerschelde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Conductivity is the primary proxy for salinity: the more dissolved ions (largely salt) in the water, the higher the conductivity. VITO operates a network of sensors along the canal that publish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296F8296" w:rsidR="00161C2E" w:rsidRPr="00181102" w:rsidRDefault="00161C2E" w:rsidP="00A32BFF">
            <w:pPr>
              <w:rPr>
                <w:sz w:val="20"/>
                <w:szCs w:val="20"/>
              </w:rPr>
            </w:pPr>
            <w:r w:rsidRPr="00181102">
              <w:rPr>
                <w:sz w:val="20"/>
                <w:szCs w:val="20"/>
              </w:rPr>
              <w:t>Autrichehaven</w:t>
            </w:r>
            <w:r w:rsidR="00FE5766">
              <w:rPr>
                <w:sz w:val="20"/>
                <w:szCs w:val="20"/>
              </w:rPr>
              <w:t xml:space="preserve"> (Westdorpe)</w:t>
            </w:r>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0064E7C1" w:rsidR="00161C2E" w:rsidRPr="00181102" w:rsidRDefault="00161C2E" w:rsidP="00A32BFF">
            <w:pPr>
              <w:rPr>
                <w:sz w:val="20"/>
                <w:szCs w:val="20"/>
              </w:rPr>
            </w:pPr>
            <w:r w:rsidRPr="00181102">
              <w:rPr>
                <w:sz w:val="20"/>
                <w:szCs w:val="20"/>
              </w:rPr>
              <w:t>Grootdok</w:t>
            </w:r>
            <w:r w:rsidR="00420A7F">
              <w:rPr>
                <w:sz w:val="20"/>
                <w:szCs w:val="20"/>
              </w:rPr>
              <w:t xml:space="preserve"> (G</w:t>
            </w:r>
            <w:r w:rsidR="00332F1C">
              <w:rPr>
                <w:sz w:val="20"/>
                <w:szCs w:val="20"/>
              </w:rPr>
              <w:t>h</w:t>
            </w:r>
            <w:r w:rsidR="00420A7F">
              <w:rPr>
                <w:sz w:val="20"/>
                <w:szCs w:val="20"/>
              </w:rPr>
              <w:t>ent)</w:t>
            </w:r>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0C7E6786" w:rsidR="00161C2E" w:rsidRPr="00181102" w:rsidRDefault="00161C2E" w:rsidP="00A32BFF">
            <w:pPr>
              <w:jc w:val="left"/>
              <w:rPr>
                <w:sz w:val="20"/>
                <w:szCs w:val="20"/>
              </w:rPr>
            </w:pPr>
            <w:r w:rsidRPr="00181102">
              <w:rPr>
                <w:sz w:val="20"/>
                <w:szCs w:val="20"/>
              </w:rPr>
              <w:t>Zevenaarshaven</w:t>
            </w:r>
            <w:r w:rsidR="00420A7F">
              <w:rPr>
                <w:sz w:val="20"/>
                <w:szCs w:val="20"/>
              </w:rPr>
              <w:t xml:space="preserve"> (Terneuzen)</w:t>
            </w:r>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3A1B7F20" w:rsidR="00161C2E" w:rsidRPr="00181102" w:rsidRDefault="00161C2E" w:rsidP="00A32BFF">
            <w:pPr>
              <w:rPr>
                <w:sz w:val="20"/>
                <w:szCs w:val="20"/>
              </w:rPr>
            </w:pPr>
            <w:r w:rsidRPr="00181102">
              <w:rPr>
                <w:sz w:val="20"/>
                <w:szCs w:val="20"/>
              </w:rPr>
              <w:t>Rodenhuizedok</w:t>
            </w:r>
            <w:r w:rsidR="00420A7F">
              <w:rPr>
                <w:sz w:val="20"/>
                <w:szCs w:val="20"/>
              </w:rPr>
              <w:t xml:space="preserve"> (G</w:t>
            </w:r>
            <w:r w:rsidR="00332F1C">
              <w:rPr>
                <w:sz w:val="20"/>
                <w:szCs w:val="20"/>
              </w:rPr>
              <w:t>h</w:t>
            </w:r>
            <w:r w:rsidR="00420A7F">
              <w:rPr>
                <w:sz w:val="20"/>
                <w:szCs w:val="20"/>
              </w:rPr>
              <w:t>ent)</w:t>
            </w:r>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r>
        <w:t>Notes</w:t>
      </w:r>
    </w:p>
    <w:p w14:paraId="16679799" w14:textId="46C9C8E8" w:rsidR="00710D07" w:rsidRPr="00710D07" w:rsidRDefault="00710D07" w:rsidP="00710D07">
      <w:pPr>
        <w:rPr>
          <w:lang w:val="nl-BE"/>
        </w:rPr>
      </w:pPr>
      <w:r w:rsidRPr="00710D07">
        <w:rPr>
          <w:lang w:val="nl-BE"/>
        </w:rPr>
        <w:t>Canals often have "lag." If Sensor 1 is upstream and Sensor 2 is downstream, the water takes time to travel.</w:t>
      </w:r>
    </w:p>
    <w:p w14:paraId="21FC0BE6" w14:textId="396A79FA" w:rsidR="00664738" w:rsidRPr="00181102" w:rsidRDefault="00664738" w:rsidP="00664738">
      <w:pPr>
        <w:pStyle w:val="Heading1"/>
        <w:rPr>
          <w:lang w:val="en-US"/>
        </w:rPr>
      </w:pPr>
      <w:r w:rsidRPr="00181102">
        <w:rPr>
          <w:lang w:val="en-US"/>
        </w:rPr>
        <w:lastRenderedPageBreak/>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Goal: predict next reading based on historic data</w:t>
      </w:r>
    </w:p>
    <w:p w14:paraId="6E07EB0B" w14:textId="5DCEFA94" w:rsidR="00664738" w:rsidRPr="00181102" w:rsidRDefault="00664738" w:rsidP="00664738">
      <w:r w:rsidRPr="00181102">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signal — one around early August (down to ~3,500) and one around late September/early October (down to ~10,000). The model misses both of them almost entirely. These are almost certainly real anomalies — sensor faults, lock operations, or measurement errors on the canal </w:t>
      </w:r>
    </w:p>
    <w:p w14:paraId="17F6B2F8" w14:textId="3849B0A4" w:rsidR="00664738" w:rsidRPr="00181102" w:rsidRDefault="00664738" w:rsidP="00664738">
      <w:r w:rsidRPr="00181102">
        <w:rPr>
          <w:noProof/>
        </w:rPr>
        <w:drawing>
          <wp:inline distT="0" distB="0" distL="0" distR="0" wp14:anchorId="4A647E13" wp14:editId="293B58E6">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lastRenderedPageBreak/>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Default="00CA1458" w:rsidP="00CA1458">
      <w:pPr>
        <w:pStyle w:val="Heading2"/>
        <w:rPr>
          <w:lang w:val="en-US"/>
        </w:rPr>
      </w:pPr>
      <w:r w:rsidRPr="00CA1458">
        <w:rPr>
          <w:lang w:val="en-US"/>
        </w:rPr>
        <w:t>Gradient boosting algorithms</w:t>
      </w:r>
    </w:p>
    <w:p w14:paraId="72D3B2D1" w14:textId="77777777" w:rsidR="0023340F" w:rsidRDefault="0023340F" w:rsidP="0023340F"/>
    <w:p w14:paraId="4E62D676" w14:textId="24E4C264" w:rsidR="0023340F" w:rsidRDefault="0023340F" w:rsidP="0023340F">
      <w:pPr>
        <w:pStyle w:val="Heading2"/>
        <w:rPr>
          <w:lang w:val="en-US"/>
        </w:rPr>
      </w:pPr>
      <w:r w:rsidRPr="0023340F">
        <w:rPr>
          <w:lang w:val="en-US"/>
        </w:rPr>
        <w:t>Matrix Profile</w:t>
      </w:r>
    </w:p>
    <w:p w14:paraId="1AC99E9A" w14:textId="73E176F6" w:rsidR="0023340F" w:rsidRDefault="0023340F" w:rsidP="0023340F">
      <w:r w:rsidRPr="0023340F">
        <w:t>There's a clear long-term seasonal pattern: conductivity peaks in summer/autumn and drops in winter, repeating annually. This is typical for canals — lower rainfall and higher evaporation concentrate salts.</w:t>
      </w:r>
    </w:p>
    <w:p w14:paraId="5B239960" w14:textId="43270D8E" w:rsidR="0023340F" w:rsidRDefault="0023340F" w:rsidP="0023340F">
      <w:r w:rsidRPr="0023340F">
        <w:t xml:space="preserve">The </w:t>
      </w:r>
      <w:r>
        <w:t>conductivity value is higher on average in</w:t>
      </w:r>
      <w:r w:rsidRPr="0023340F">
        <w:t xml:space="preserve"> 2025 onward, suggesting recent behavior is more variable and harder to match to historical patterns.</w:t>
      </w:r>
      <w:r>
        <w:t xml:space="preserve"> This is probably due to the operation of a new third lock to the canal in May</w:t>
      </w:r>
      <w:r w:rsidR="0085745E">
        <w:t xml:space="preserve"> (testing phase)</w:t>
      </w:r>
      <w:r>
        <w:t>.</w:t>
      </w:r>
    </w:p>
    <w:p w14:paraId="17EDB613" w14:textId="26C0B54E" w:rsidR="00972E8E" w:rsidRDefault="00972E8E" w:rsidP="0023340F">
      <w:r>
        <w:t xml:space="preserve">The first recording of </w:t>
      </w:r>
      <w:r w:rsidR="00644EC3">
        <w:t xml:space="preserve">a </w:t>
      </w:r>
      <w:r>
        <w:t>conductivity value measuring over 10000</w:t>
      </w:r>
      <w:r w:rsidR="00644EC3">
        <w:t xml:space="preserve"> </w:t>
      </w:r>
      <w:r w:rsidR="00644EC3">
        <w:rPr>
          <w:rFonts w:cstheme="minorHAnsi"/>
        </w:rPr>
        <w:t>µ</w:t>
      </w:r>
      <w:r w:rsidR="00644EC3">
        <w:t>S/cm</w:t>
      </w:r>
      <w:r>
        <w:t xml:space="preserve"> in the year 2025 was in August</w:t>
      </w:r>
      <w:r w:rsidR="00644EC3">
        <w:t>,</w:t>
      </w:r>
      <w:r>
        <w:t xml:space="preserve"> which is the same month the new </w:t>
      </w:r>
      <w:r w:rsidR="0085745E">
        <w:t xml:space="preserve">third </w:t>
      </w:r>
      <w:r>
        <w:t>lock became operational.</w:t>
      </w:r>
    </w:p>
    <w:p w14:paraId="16C7ACF4" w14:textId="4038F972" w:rsidR="0023340F" w:rsidRDefault="0023340F" w:rsidP="0023340F">
      <w:r w:rsidRPr="0023340F">
        <w:t>The yellow regions (high distance) dominate the matrix, meaning most weeks are quite different from each other — the canal has high variability overall.</w:t>
      </w:r>
    </w:p>
    <w:p w14:paraId="28D030FF" w14:textId="0D5F66D1" w:rsidR="0023340F" w:rsidRDefault="0023340F" w:rsidP="0023340F">
      <w:r w:rsidRPr="0023340F">
        <w:t>There's a notable dark cluster around 2021–2022 (bottom-left corner), suggesting early 2021 windows were internally very consistent — a stable baseline period.</w:t>
      </w:r>
    </w:p>
    <w:p w14:paraId="0A0A73BC" w14:textId="397B622E" w:rsidR="0023340F" w:rsidRDefault="0023340F" w:rsidP="0023340F">
      <w:r w:rsidRPr="0023340F">
        <w:t>The 2025–2026 corner (top-right) is largely yellow, confirming recent behavior is increasingly dissimilar from all historical periods</w:t>
      </w:r>
      <w:r w:rsidR="004D323B">
        <w:t>.</w:t>
      </w:r>
    </w:p>
    <w:p w14:paraId="3856F867" w14:textId="77777777" w:rsidR="004D323B" w:rsidRPr="0023340F" w:rsidRDefault="004D323B" w:rsidP="0023340F"/>
    <w:p w14:paraId="5A395594" w14:textId="23F46D38" w:rsidR="0023340F" w:rsidRPr="0023340F" w:rsidRDefault="0023340F" w:rsidP="0023340F">
      <w:r>
        <w:rPr>
          <w:noProof/>
        </w:rPr>
        <w:lastRenderedPageBreak/>
        <w:drawing>
          <wp:inline distT="0" distB="0" distL="0" distR="0" wp14:anchorId="1826985D" wp14:editId="1C487D1C">
            <wp:extent cx="5727065" cy="5361305"/>
            <wp:effectExtent l="0" t="0" r="0" b="0"/>
            <wp:docPr id="2983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7065" cy="5361305"/>
                    </a:xfrm>
                    <a:prstGeom prst="rect">
                      <a:avLst/>
                    </a:prstGeom>
                    <a:noFill/>
                    <a:ln>
                      <a:noFill/>
                    </a:ln>
                  </pic:spPr>
                </pic:pic>
              </a:graphicData>
            </a:graphic>
          </wp:inline>
        </w:drawing>
      </w:r>
    </w:p>
    <w:sectPr w:rsidR="0023340F" w:rsidRPr="0023340F"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54878"/>
    <w:rsid w:val="00161C2E"/>
    <w:rsid w:val="001673A0"/>
    <w:rsid w:val="00181102"/>
    <w:rsid w:val="001B0728"/>
    <w:rsid w:val="001E6101"/>
    <w:rsid w:val="0023340F"/>
    <w:rsid w:val="00243F66"/>
    <w:rsid w:val="002746C0"/>
    <w:rsid w:val="0031015C"/>
    <w:rsid w:val="00313FA2"/>
    <w:rsid w:val="00330CFE"/>
    <w:rsid w:val="00332F1C"/>
    <w:rsid w:val="003938AF"/>
    <w:rsid w:val="00394AE2"/>
    <w:rsid w:val="00420800"/>
    <w:rsid w:val="00420A7F"/>
    <w:rsid w:val="00431EE2"/>
    <w:rsid w:val="004C3D6B"/>
    <w:rsid w:val="004C7B92"/>
    <w:rsid w:val="004D323B"/>
    <w:rsid w:val="005115CE"/>
    <w:rsid w:val="00521999"/>
    <w:rsid w:val="006314E8"/>
    <w:rsid w:val="006412A7"/>
    <w:rsid w:val="00644EC3"/>
    <w:rsid w:val="00653A55"/>
    <w:rsid w:val="00656D79"/>
    <w:rsid w:val="00664738"/>
    <w:rsid w:val="00677280"/>
    <w:rsid w:val="00697A2F"/>
    <w:rsid w:val="006D747D"/>
    <w:rsid w:val="006F75EA"/>
    <w:rsid w:val="00710CE1"/>
    <w:rsid w:val="00710D07"/>
    <w:rsid w:val="007179E2"/>
    <w:rsid w:val="00725C27"/>
    <w:rsid w:val="00736C92"/>
    <w:rsid w:val="007664D4"/>
    <w:rsid w:val="007F5E1A"/>
    <w:rsid w:val="0085745E"/>
    <w:rsid w:val="00886620"/>
    <w:rsid w:val="00894D5F"/>
    <w:rsid w:val="008A7479"/>
    <w:rsid w:val="008D0365"/>
    <w:rsid w:val="008F6765"/>
    <w:rsid w:val="00972E8E"/>
    <w:rsid w:val="009A78E8"/>
    <w:rsid w:val="009E567F"/>
    <w:rsid w:val="00A32BFF"/>
    <w:rsid w:val="00AE362B"/>
    <w:rsid w:val="00B25D50"/>
    <w:rsid w:val="00B43924"/>
    <w:rsid w:val="00B6781E"/>
    <w:rsid w:val="00BE3EDD"/>
    <w:rsid w:val="00BE48B1"/>
    <w:rsid w:val="00C216CD"/>
    <w:rsid w:val="00C51ED9"/>
    <w:rsid w:val="00CA1458"/>
    <w:rsid w:val="00CA269F"/>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 w:val="00FE5766"/>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5256</TotalTime>
  <Pages>4</Pages>
  <Words>745</Words>
  <Characters>4247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35</cp:revision>
  <dcterms:created xsi:type="dcterms:W3CDTF">2026-03-16T11:43:00Z</dcterms:created>
  <dcterms:modified xsi:type="dcterms:W3CDTF">2026-04-15T12:07:00Z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