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keepLines/>
        <w:pageBreakBefore w:val="0"/>
      </w:pPr>
      <w:r>
        <w:rPr>
          <w:strike w:val="0"/>
        </w:rPr>
        <w:t>6. Results and Discussion</w:t>
      </w:r>
    </w:p>
    <w:p>
      <w:pPr>
        <w:widowControl/>
        <w:jc w:val="both"/>
      </w:pPr>
      <w:r>
        <w:rPr>
          <w:strike w:val="0"/>
        </w:rPr>
        <w:t>The three neural forecasters and the LSTM-TCN ensemble were evaluated on an identical, leakage-safe test set comprising 2,865 forecast origins in September 2025 and 45,840 quarter-hour target values over a four-hour horizon. Model selection and any residual calibration used August data only; September remained untouched until final evaluation. Two input representations were compared at the same forecast origins: an unrestricted 72-hour history (288 quarter-hour steps) and a manually defined 42-hour representation (168 steps) motivated by the proposed Terneuzen-to-Ghent transport delay. Consequently, the differences below reflect representation and model behavior rather than unequal test windows.</w:t>
      </w:r>
    </w:p>
    <w:p>
      <w:pPr>
        <w:pStyle w:val="Heading2"/>
        <w:keepNext/>
        <w:keepLines/>
        <w:pageBreakBefore w:val="0"/>
      </w:pPr>
      <w:r>
        <w:rPr>
          <w:strike w:val="0"/>
        </w:rPr>
        <w:t>6.1 Overall Matched-Window Performance</w:t>
      </w:r>
    </w:p>
    <w:p>
      <w:pPr>
        <w:widowControl/>
        <w:jc w:val="both"/>
      </w:pPr>
      <w:r>
        <w:rPr>
          <w:strike w:val="0"/>
        </w:rPr>
        <w:t>Table 1 summarizes the held-out performance of the LSTM, TCN, Chronos-2 foundation model, and the validation-prespecified equal-weight LSTM-TCN ensemble. Every configuration achieved positive RMSE skill relative to persistence. The manual 42-hour TCN obtained the lowest overall RMSE (0.1998 mS/cm), the highest all-horizon R2 (0.5138), and 10.95% RMSE skill. Calibrated Chronos-2 with the same representation was effectively co-leading (RMSE 0.2008 mS/cm; R2 0.5087; skill 10.48%). The best unrestricted model was calibrated Chronos-2 (RMSE 0.2054 mS/cm; skill 8.45%), establishing that the foundation model extracted useful structure from the full 72-hour context without task-specific weight updates.</w:t>
      </w:r>
    </w:p>
    <w:p>
      <w:pPr>
        <w:pStyle w:val="Caption1"/>
        <w:keepNext/>
      </w:pPr>
      <w:r>
        <w:rPr>
          <w:strike w:val="0"/>
        </w:rPr>
        <w:t>Table 1. Held-out September performance across all four-hour forecast trajectories.</w:t>
      </w:r>
    </w:p>
    <w:tbl>
      <w:tblPr>
        <w:tblW w:type="dxa" w:w="9450"/>
        <w:jc w:val="center"/>
        <w:tblLayout w:type="fixed"/>
        <w:tblLook w:firstColumn="1" w:firstRow="1" w:lastColumn="0" w:lastRow="0" w:noHBand="0" w:noVBand="1" w:val="04A0"/>
        <w:tblInd w:w="100" w:type="dxa"/>
        <w:tblBorders>
          <w:top w:val="single" w:sz="4" w:space="0" w:color="8C8C8C"/>
          <w:start w:val="single" w:sz="4" w:space="0" w:color="8C8C8C"/>
          <w:bottom w:val="single" w:sz="4" w:space="0" w:color="8C8C8C"/>
          <w:end w:val="single" w:sz="4" w:space="0" w:color="8C8C8C"/>
          <w:insideH w:val="single" w:sz="4" w:space="0" w:color="8C8C8C"/>
          <w:insideV w:val="single" w:sz="4" w:space="0" w:color="8C8C8C"/>
        </w:tblBorders>
      </w:tblPr>
      <w:tblGrid>
        <w:gridCol w:w="2550"/>
        <w:gridCol w:w="900"/>
        <w:gridCol w:w="1650"/>
        <w:gridCol w:w="1150"/>
        <w:gridCol w:w="1650"/>
        <w:gridCol w:w="1550"/>
      </w:tblGrid>
      <w:tr>
        <w:trPr>
          <w:tblHeader w:val="true"/>
        </w:trPr>
        <w:tc>
          <w:tcPr>
            <w:tcW w:type="dxa" w:w="2550"/>
            <w:shd w:fill="D9E2F3" w:val="clear"/>
            <w:tcMar>
              <w:top w:w="80" w:type="dxa"/>
              <w:start w:w="100" w:type="dxa"/>
              <w:bottom w:w="80" w:type="dxa"/>
              <w:end w:w="100" w:type="dxa"/>
            </w:tcMar>
            <w:vAlign w:val="center"/>
          </w:tcPr>
          <w:p>
            <w:pPr>
              <w:spacing w:after="0"/>
              <w:jc w:val="left"/>
            </w:pPr>
            <w:r>
              <w:rPr>
                <w:b/>
                <w:sz w:val="19"/>
              </w:rPr>
              <w:t>Model</w:t>
            </w:r>
          </w:p>
        </w:tc>
        <w:tc>
          <w:tcPr>
            <w:tcW w:type="dxa" w:w="900"/>
            <w:shd w:fill="D9E2F3" w:val="clear"/>
            <w:tcMar>
              <w:top w:w="80" w:type="dxa"/>
              <w:start w:w="100" w:type="dxa"/>
              <w:bottom w:w="80" w:type="dxa"/>
              <w:end w:w="100" w:type="dxa"/>
            </w:tcMar>
            <w:vAlign w:val="center"/>
          </w:tcPr>
          <w:p>
            <w:pPr>
              <w:spacing w:after="0"/>
              <w:jc w:val="left"/>
            </w:pPr>
            <w:r>
              <w:rPr>
                <w:b/>
                <w:sz w:val="19"/>
              </w:rPr>
              <w:t>Input</w:t>
            </w:r>
          </w:p>
        </w:tc>
        <w:tc>
          <w:tcPr>
            <w:tcW w:type="dxa" w:w="1650"/>
            <w:shd w:fill="D9E2F3" w:val="clear"/>
            <w:tcMar>
              <w:top w:w="80" w:type="dxa"/>
              <w:start w:w="100" w:type="dxa"/>
              <w:bottom w:w="80" w:type="dxa"/>
              <w:end w:w="100" w:type="dxa"/>
            </w:tcMar>
            <w:vAlign w:val="center"/>
          </w:tcPr>
          <w:p>
            <w:pPr>
              <w:spacing w:after="0"/>
              <w:jc w:val="center"/>
            </w:pPr>
            <w:r>
              <w:rPr>
                <w:b/>
                <w:sz w:val="19"/>
              </w:rPr>
              <w:t>RMSE (mS/cm)</w:t>
            </w:r>
          </w:p>
        </w:tc>
        <w:tc>
          <w:tcPr>
            <w:tcW w:type="dxa" w:w="1150"/>
            <w:shd w:fill="D9E2F3" w:val="clear"/>
            <w:tcMar>
              <w:top w:w="80" w:type="dxa"/>
              <w:start w:w="100" w:type="dxa"/>
              <w:bottom w:w="80" w:type="dxa"/>
              <w:end w:w="100" w:type="dxa"/>
            </w:tcMar>
            <w:vAlign w:val="center"/>
          </w:tcPr>
          <w:p>
            <w:pPr>
              <w:spacing w:after="0"/>
              <w:jc w:val="center"/>
            </w:pPr>
            <w:r>
              <w:rPr>
                <w:b/>
                <w:sz w:val="19"/>
              </w:rPr>
              <w:t>R2</w:t>
            </w:r>
          </w:p>
        </w:tc>
        <w:tc>
          <w:tcPr>
            <w:tcW w:type="dxa" w:w="1650"/>
            <w:shd w:fill="D9E2F3" w:val="clear"/>
            <w:tcMar>
              <w:top w:w="80" w:type="dxa"/>
              <w:start w:w="100" w:type="dxa"/>
              <w:bottom w:w="80" w:type="dxa"/>
              <w:end w:w="100" w:type="dxa"/>
            </w:tcMar>
            <w:vAlign w:val="center"/>
          </w:tcPr>
          <w:p>
            <w:pPr>
              <w:spacing w:after="0"/>
              <w:jc w:val="center"/>
            </w:pPr>
            <w:r>
              <w:rPr>
                <w:b/>
                <w:sz w:val="19"/>
              </w:rPr>
              <w:t>RMSE skill (%)</w:t>
            </w:r>
          </w:p>
        </w:tc>
        <w:tc>
          <w:tcPr>
            <w:tcW w:type="dxa" w:w="1550"/>
            <w:shd w:fill="D9E2F3" w:val="clear"/>
            <w:tcMar>
              <w:top w:w="80" w:type="dxa"/>
              <w:start w:w="100" w:type="dxa"/>
              <w:bottom w:w="80" w:type="dxa"/>
              <w:end w:w="100" w:type="dxa"/>
            </w:tcMar>
            <w:vAlign w:val="center"/>
          </w:tcPr>
          <w:p>
            <w:pPr>
              <w:spacing w:after="0"/>
              <w:jc w:val="center"/>
            </w:pPr>
            <w:r>
              <w:rPr>
                <w:b/>
                <w:sz w:val="19"/>
              </w:rPr>
              <w:t>4 h skill (%)</w:t>
            </w:r>
          </w:p>
        </w:tc>
      </w:tr>
      <w:tr>
        <w:tc>
          <w:tcPr>
            <w:tcW w:type="dxa" w:w="2550"/>
            <w:tcMar>
              <w:top w:w="80" w:type="dxa"/>
              <w:start w:w="100" w:type="dxa"/>
              <w:bottom w:w="80" w:type="dxa"/>
              <w:end w:w="100" w:type="dxa"/>
            </w:tcMar>
            <w:vAlign w:val="center"/>
          </w:tcPr>
          <w:p>
            <w:pPr>
              <w:keepLines/>
              <w:spacing w:after="0"/>
              <w:jc w:val="left"/>
            </w:pPr>
            <w:r>
              <w:rPr>
                <w:sz w:val="19"/>
              </w:rPr>
              <w:t>LSTM</w:t>
            </w:r>
          </w:p>
        </w:tc>
        <w:tc>
          <w:tcPr>
            <w:tcW w:type="dxa" w:w="900"/>
            <w:tcMar>
              <w:top w:w="80" w:type="dxa"/>
              <w:start w:w="100" w:type="dxa"/>
              <w:bottom w:w="80" w:type="dxa"/>
              <w:end w:w="100" w:type="dxa"/>
            </w:tcMar>
            <w:vAlign w:val="center"/>
          </w:tcPr>
          <w:p>
            <w:pPr>
              <w:keepLines/>
              <w:spacing w:after="0"/>
              <w:jc w:val="left"/>
            </w:pPr>
            <w:r>
              <w:rPr>
                <w:sz w:val="19"/>
              </w:rPr>
              <w:t>72 h</w:t>
            </w:r>
          </w:p>
        </w:tc>
        <w:tc>
          <w:tcPr>
            <w:tcW w:type="dxa" w:w="1650"/>
            <w:tcMar>
              <w:top w:w="80" w:type="dxa"/>
              <w:start w:w="100" w:type="dxa"/>
              <w:bottom w:w="80" w:type="dxa"/>
              <w:end w:w="100" w:type="dxa"/>
            </w:tcMar>
            <w:vAlign w:val="center"/>
          </w:tcPr>
          <w:p>
            <w:pPr>
              <w:keepLines/>
              <w:spacing w:after="0"/>
              <w:jc w:val="center"/>
            </w:pPr>
            <w:r>
              <w:rPr>
                <w:sz w:val="19"/>
              </w:rPr>
              <w:t>0.2117</w:t>
            </w:r>
          </w:p>
        </w:tc>
        <w:tc>
          <w:tcPr>
            <w:tcW w:type="dxa" w:w="1150"/>
            <w:tcMar>
              <w:top w:w="80" w:type="dxa"/>
              <w:start w:w="100" w:type="dxa"/>
              <w:bottom w:w="80" w:type="dxa"/>
              <w:end w:w="100" w:type="dxa"/>
            </w:tcMar>
            <w:vAlign w:val="center"/>
          </w:tcPr>
          <w:p>
            <w:pPr>
              <w:keepLines/>
              <w:spacing w:after="0"/>
              <w:jc w:val="center"/>
            </w:pPr>
            <w:r>
              <w:rPr>
                <w:sz w:val="19"/>
              </w:rPr>
              <w:t>0.4541</w:t>
            </w:r>
          </w:p>
        </w:tc>
        <w:tc>
          <w:tcPr>
            <w:tcW w:type="dxa" w:w="1650"/>
            <w:tcMar>
              <w:top w:w="80" w:type="dxa"/>
              <w:start w:w="100" w:type="dxa"/>
              <w:bottom w:w="80" w:type="dxa"/>
              <w:end w:w="100" w:type="dxa"/>
            </w:tcMar>
            <w:vAlign w:val="center"/>
          </w:tcPr>
          <w:p>
            <w:pPr>
              <w:keepLines/>
              <w:spacing w:after="0"/>
              <w:jc w:val="center"/>
            </w:pPr>
            <w:r>
              <w:rPr>
                <w:sz w:val="19"/>
              </w:rPr>
              <w:t>5.64</w:t>
            </w:r>
          </w:p>
        </w:tc>
        <w:tc>
          <w:tcPr>
            <w:tcW w:type="dxa" w:w="1550"/>
            <w:tcMar>
              <w:top w:w="80" w:type="dxa"/>
              <w:start w:w="100" w:type="dxa"/>
              <w:bottom w:w="80" w:type="dxa"/>
              <w:end w:w="100" w:type="dxa"/>
            </w:tcMar>
            <w:vAlign w:val="center"/>
          </w:tcPr>
          <w:p>
            <w:pPr>
              <w:keepLines/>
              <w:spacing w:after="0"/>
              <w:jc w:val="center"/>
            </w:pPr>
            <w:r>
              <w:rPr>
                <w:sz w:val="19"/>
              </w:rPr>
              <w:t>6.82</w:t>
            </w:r>
          </w:p>
        </w:tc>
      </w:tr>
      <w:tr>
        <w:tc>
          <w:tcPr>
            <w:tcW w:type="dxa" w:w="2550"/>
            <w:tcMar>
              <w:top w:w="80" w:type="dxa"/>
              <w:start w:w="100" w:type="dxa"/>
              <w:bottom w:w="80" w:type="dxa"/>
              <w:end w:w="100" w:type="dxa"/>
            </w:tcMar>
            <w:vAlign w:val="center"/>
          </w:tcPr>
          <w:p>
            <w:pPr>
              <w:keepLines/>
              <w:spacing w:after="0"/>
              <w:jc w:val="left"/>
            </w:pPr>
            <w:r>
              <w:rPr>
                <w:sz w:val="19"/>
              </w:rPr>
              <w:t>LSTM</w:t>
            </w:r>
          </w:p>
        </w:tc>
        <w:tc>
          <w:tcPr>
            <w:tcW w:type="dxa" w:w="900"/>
            <w:tcMar>
              <w:top w:w="80" w:type="dxa"/>
              <w:start w:w="100" w:type="dxa"/>
              <w:bottom w:w="80" w:type="dxa"/>
              <w:end w:w="100" w:type="dxa"/>
            </w:tcMar>
            <w:vAlign w:val="center"/>
          </w:tcPr>
          <w:p>
            <w:pPr>
              <w:keepLines/>
              <w:spacing w:after="0"/>
              <w:jc w:val="left"/>
            </w:pPr>
            <w:r>
              <w:rPr>
                <w:sz w:val="19"/>
              </w:rPr>
              <w:t>42 h</w:t>
            </w:r>
          </w:p>
        </w:tc>
        <w:tc>
          <w:tcPr>
            <w:tcW w:type="dxa" w:w="1650"/>
            <w:tcMar>
              <w:top w:w="80" w:type="dxa"/>
              <w:start w:w="100" w:type="dxa"/>
              <w:bottom w:w="80" w:type="dxa"/>
              <w:end w:w="100" w:type="dxa"/>
            </w:tcMar>
            <w:vAlign w:val="center"/>
          </w:tcPr>
          <w:p>
            <w:pPr>
              <w:keepLines/>
              <w:spacing w:after="0"/>
              <w:jc w:val="center"/>
            </w:pPr>
            <w:r>
              <w:rPr>
                <w:sz w:val="19"/>
              </w:rPr>
              <w:t>0.2110</w:t>
            </w:r>
          </w:p>
        </w:tc>
        <w:tc>
          <w:tcPr>
            <w:tcW w:type="dxa" w:w="1150"/>
            <w:tcMar>
              <w:top w:w="80" w:type="dxa"/>
              <w:start w:w="100" w:type="dxa"/>
              <w:bottom w:w="80" w:type="dxa"/>
              <w:end w:w="100" w:type="dxa"/>
            </w:tcMar>
            <w:vAlign w:val="center"/>
          </w:tcPr>
          <w:p>
            <w:pPr>
              <w:keepLines/>
              <w:spacing w:after="0"/>
              <w:jc w:val="center"/>
            </w:pPr>
            <w:r>
              <w:rPr>
                <w:sz w:val="19"/>
              </w:rPr>
              <w:t>0.4578</w:t>
            </w:r>
          </w:p>
        </w:tc>
        <w:tc>
          <w:tcPr>
            <w:tcW w:type="dxa" w:w="1650"/>
            <w:tcMar>
              <w:top w:w="80" w:type="dxa"/>
              <w:start w:w="100" w:type="dxa"/>
              <w:bottom w:w="80" w:type="dxa"/>
              <w:end w:w="100" w:type="dxa"/>
            </w:tcMar>
            <w:vAlign w:val="center"/>
          </w:tcPr>
          <w:p>
            <w:pPr>
              <w:keepLines/>
              <w:spacing w:after="0"/>
              <w:jc w:val="center"/>
            </w:pPr>
            <w:r>
              <w:rPr>
                <w:sz w:val="19"/>
              </w:rPr>
              <w:t>5.96</w:t>
            </w:r>
          </w:p>
        </w:tc>
        <w:tc>
          <w:tcPr>
            <w:tcW w:type="dxa" w:w="1550"/>
            <w:tcMar>
              <w:top w:w="80" w:type="dxa"/>
              <w:start w:w="100" w:type="dxa"/>
              <w:bottom w:w="80" w:type="dxa"/>
              <w:end w:w="100" w:type="dxa"/>
            </w:tcMar>
            <w:vAlign w:val="center"/>
          </w:tcPr>
          <w:p>
            <w:pPr>
              <w:keepLines/>
              <w:spacing w:after="0"/>
              <w:jc w:val="center"/>
            </w:pPr>
            <w:r>
              <w:rPr>
                <w:sz w:val="19"/>
              </w:rPr>
              <w:t>6.86</w:t>
            </w:r>
          </w:p>
        </w:tc>
      </w:tr>
      <w:tr>
        <w:tc>
          <w:tcPr>
            <w:tcW w:type="dxa" w:w="2550"/>
            <w:tcMar>
              <w:top w:w="80" w:type="dxa"/>
              <w:start w:w="100" w:type="dxa"/>
              <w:bottom w:w="80" w:type="dxa"/>
              <w:end w:w="100" w:type="dxa"/>
            </w:tcMar>
            <w:vAlign w:val="center"/>
          </w:tcPr>
          <w:p>
            <w:pPr>
              <w:keepLines/>
              <w:spacing w:after="0"/>
              <w:jc w:val="left"/>
            </w:pPr>
            <w:r>
              <w:rPr>
                <w:sz w:val="19"/>
              </w:rPr>
              <w:t>TCN</w:t>
            </w:r>
          </w:p>
        </w:tc>
        <w:tc>
          <w:tcPr>
            <w:tcW w:type="dxa" w:w="900"/>
            <w:tcMar>
              <w:top w:w="80" w:type="dxa"/>
              <w:start w:w="100" w:type="dxa"/>
              <w:bottom w:w="80" w:type="dxa"/>
              <w:end w:w="100" w:type="dxa"/>
            </w:tcMar>
            <w:vAlign w:val="center"/>
          </w:tcPr>
          <w:p>
            <w:pPr>
              <w:keepLines/>
              <w:spacing w:after="0"/>
              <w:jc w:val="left"/>
            </w:pPr>
            <w:r>
              <w:rPr>
                <w:sz w:val="19"/>
              </w:rPr>
              <w:t>72 h</w:t>
            </w:r>
          </w:p>
        </w:tc>
        <w:tc>
          <w:tcPr>
            <w:tcW w:type="dxa" w:w="1650"/>
            <w:tcMar>
              <w:top w:w="80" w:type="dxa"/>
              <w:start w:w="100" w:type="dxa"/>
              <w:bottom w:w="80" w:type="dxa"/>
              <w:end w:w="100" w:type="dxa"/>
            </w:tcMar>
            <w:vAlign w:val="center"/>
          </w:tcPr>
          <w:p>
            <w:pPr>
              <w:keepLines/>
              <w:spacing w:after="0"/>
              <w:jc w:val="center"/>
            </w:pPr>
            <w:r>
              <w:rPr>
                <w:sz w:val="19"/>
              </w:rPr>
              <w:t>0.2115</w:t>
            </w:r>
          </w:p>
        </w:tc>
        <w:tc>
          <w:tcPr>
            <w:tcW w:type="dxa" w:w="1150"/>
            <w:tcMar>
              <w:top w:w="80" w:type="dxa"/>
              <w:start w:w="100" w:type="dxa"/>
              <w:bottom w:w="80" w:type="dxa"/>
              <w:end w:w="100" w:type="dxa"/>
            </w:tcMar>
            <w:vAlign w:val="center"/>
          </w:tcPr>
          <w:p>
            <w:pPr>
              <w:keepLines/>
              <w:spacing w:after="0"/>
              <w:jc w:val="center"/>
            </w:pPr>
            <w:r>
              <w:rPr>
                <w:sz w:val="19"/>
              </w:rPr>
              <w:t>0.4553</w:t>
            </w:r>
          </w:p>
        </w:tc>
        <w:tc>
          <w:tcPr>
            <w:tcW w:type="dxa" w:w="1650"/>
            <w:tcMar>
              <w:top w:w="80" w:type="dxa"/>
              <w:start w:w="100" w:type="dxa"/>
              <w:bottom w:w="80" w:type="dxa"/>
              <w:end w:w="100" w:type="dxa"/>
            </w:tcMar>
            <w:vAlign w:val="center"/>
          </w:tcPr>
          <w:p>
            <w:pPr>
              <w:keepLines/>
              <w:spacing w:after="0"/>
              <w:jc w:val="center"/>
            </w:pPr>
            <w:r>
              <w:rPr>
                <w:sz w:val="19"/>
              </w:rPr>
              <w:t>5.74</w:t>
            </w:r>
          </w:p>
        </w:tc>
        <w:tc>
          <w:tcPr>
            <w:tcW w:type="dxa" w:w="1550"/>
            <w:tcMar>
              <w:top w:w="80" w:type="dxa"/>
              <w:start w:w="100" w:type="dxa"/>
              <w:bottom w:w="80" w:type="dxa"/>
              <w:end w:w="100" w:type="dxa"/>
            </w:tcMar>
            <w:vAlign w:val="center"/>
          </w:tcPr>
          <w:p>
            <w:pPr>
              <w:keepLines/>
              <w:spacing w:after="0"/>
              <w:jc w:val="center"/>
            </w:pPr>
            <w:r>
              <w:rPr>
                <w:sz w:val="19"/>
              </w:rPr>
              <w:t>6.93</w:t>
            </w:r>
          </w:p>
        </w:tc>
      </w:tr>
      <w:tr>
        <w:tc>
          <w:tcPr>
            <w:tcW w:type="dxa" w:w="2550"/>
            <w:tcMar>
              <w:top w:w="80" w:type="dxa"/>
              <w:start w:w="100" w:type="dxa"/>
              <w:bottom w:w="80" w:type="dxa"/>
              <w:end w:w="100" w:type="dxa"/>
            </w:tcMar>
            <w:vAlign w:val="center"/>
          </w:tcPr>
          <w:p>
            <w:pPr>
              <w:keepLines/>
              <w:spacing w:after="0"/>
              <w:jc w:val="left"/>
            </w:pPr>
            <w:r>
              <w:rPr>
                <w:sz w:val="19"/>
              </w:rPr>
              <w:t>TCN</w:t>
            </w:r>
          </w:p>
        </w:tc>
        <w:tc>
          <w:tcPr>
            <w:tcW w:type="dxa" w:w="900"/>
            <w:tcMar>
              <w:top w:w="80" w:type="dxa"/>
              <w:start w:w="100" w:type="dxa"/>
              <w:bottom w:w="80" w:type="dxa"/>
              <w:end w:w="100" w:type="dxa"/>
            </w:tcMar>
            <w:vAlign w:val="center"/>
          </w:tcPr>
          <w:p>
            <w:pPr>
              <w:keepLines/>
              <w:spacing w:after="0"/>
              <w:jc w:val="left"/>
            </w:pPr>
            <w:r>
              <w:rPr>
                <w:sz w:val="19"/>
              </w:rPr>
              <w:t>42 h</w:t>
            </w:r>
          </w:p>
        </w:tc>
        <w:tc>
          <w:tcPr>
            <w:tcW w:type="dxa" w:w="1650"/>
            <w:tcMar>
              <w:top w:w="80" w:type="dxa"/>
              <w:start w:w="100" w:type="dxa"/>
              <w:bottom w:w="80" w:type="dxa"/>
              <w:end w:w="100" w:type="dxa"/>
            </w:tcMar>
            <w:vAlign w:val="center"/>
          </w:tcPr>
          <w:p>
            <w:pPr>
              <w:keepLines/>
              <w:spacing w:after="0"/>
              <w:jc w:val="center"/>
            </w:pPr>
            <w:r>
              <w:rPr>
                <w:sz w:val="19"/>
              </w:rPr>
              <w:t>0.1998</w:t>
            </w:r>
          </w:p>
        </w:tc>
        <w:tc>
          <w:tcPr>
            <w:tcW w:type="dxa" w:w="1150"/>
            <w:tcMar>
              <w:top w:w="80" w:type="dxa"/>
              <w:start w:w="100" w:type="dxa"/>
              <w:bottom w:w="80" w:type="dxa"/>
              <w:end w:w="100" w:type="dxa"/>
            </w:tcMar>
            <w:vAlign w:val="center"/>
          </w:tcPr>
          <w:p>
            <w:pPr>
              <w:keepLines/>
              <w:spacing w:after="0"/>
              <w:jc w:val="center"/>
            </w:pPr>
            <w:r>
              <w:rPr>
                <w:sz w:val="19"/>
              </w:rPr>
              <w:t>0.5138</w:t>
            </w:r>
          </w:p>
        </w:tc>
        <w:tc>
          <w:tcPr>
            <w:tcW w:type="dxa" w:w="1650"/>
            <w:tcMar>
              <w:top w:w="80" w:type="dxa"/>
              <w:start w:w="100" w:type="dxa"/>
              <w:bottom w:w="80" w:type="dxa"/>
              <w:end w:w="100" w:type="dxa"/>
            </w:tcMar>
            <w:vAlign w:val="center"/>
          </w:tcPr>
          <w:p>
            <w:pPr>
              <w:keepLines/>
              <w:spacing w:after="0"/>
              <w:jc w:val="center"/>
            </w:pPr>
            <w:r>
              <w:rPr>
                <w:sz w:val="19"/>
              </w:rPr>
              <w:t>10.95</w:t>
            </w:r>
          </w:p>
        </w:tc>
        <w:tc>
          <w:tcPr>
            <w:tcW w:type="dxa" w:w="1550"/>
            <w:tcMar>
              <w:top w:w="80" w:type="dxa"/>
              <w:start w:w="100" w:type="dxa"/>
              <w:bottom w:w="80" w:type="dxa"/>
              <w:end w:w="100" w:type="dxa"/>
            </w:tcMar>
            <w:vAlign w:val="center"/>
          </w:tcPr>
          <w:p>
            <w:pPr>
              <w:keepLines/>
              <w:spacing w:after="0"/>
              <w:jc w:val="center"/>
            </w:pPr>
            <w:r>
              <w:rPr>
                <w:sz w:val="19"/>
              </w:rPr>
              <w:t>12.05</w:t>
            </w:r>
          </w:p>
        </w:tc>
      </w:tr>
      <w:tr>
        <w:tc>
          <w:tcPr>
            <w:tcW w:type="dxa" w:w="2550"/>
            <w:tcMar>
              <w:top w:w="80" w:type="dxa"/>
              <w:start w:w="100" w:type="dxa"/>
              <w:bottom w:w="80" w:type="dxa"/>
              <w:end w:w="100" w:type="dxa"/>
            </w:tcMar>
            <w:vAlign w:val="center"/>
          </w:tcPr>
          <w:p>
            <w:pPr>
              <w:keepLines/>
              <w:spacing w:after="0"/>
              <w:jc w:val="left"/>
            </w:pPr>
            <w:r>
              <w:rPr>
                <w:sz w:val="19"/>
              </w:rPr>
              <w:t>LSTM-TCN ensemble</w:t>
            </w:r>
          </w:p>
        </w:tc>
        <w:tc>
          <w:tcPr>
            <w:tcW w:type="dxa" w:w="900"/>
            <w:tcMar>
              <w:top w:w="80" w:type="dxa"/>
              <w:start w:w="100" w:type="dxa"/>
              <w:bottom w:w="80" w:type="dxa"/>
              <w:end w:w="100" w:type="dxa"/>
            </w:tcMar>
            <w:vAlign w:val="center"/>
          </w:tcPr>
          <w:p>
            <w:pPr>
              <w:keepLines/>
              <w:spacing w:after="0"/>
              <w:jc w:val="left"/>
            </w:pPr>
            <w:r>
              <w:rPr>
                <w:sz w:val="19"/>
              </w:rPr>
              <w:t>72 h</w:t>
            </w:r>
          </w:p>
        </w:tc>
        <w:tc>
          <w:tcPr>
            <w:tcW w:type="dxa" w:w="1650"/>
            <w:tcMar>
              <w:top w:w="80" w:type="dxa"/>
              <w:start w:w="100" w:type="dxa"/>
              <w:bottom w:w="80" w:type="dxa"/>
              <w:end w:w="100" w:type="dxa"/>
            </w:tcMar>
            <w:vAlign w:val="center"/>
          </w:tcPr>
          <w:p>
            <w:pPr>
              <w:keepLines/>
              <w:spacing w:after="0"/>
              <w:jc w:val="center"/>
            </w:pPr>
            <w:r>
              <w:rPr>
                <w:sz w:val="19"/>
              </w:rPr>
              <w:t>0.2106</w:t>
            </w:r>
          </w:p>
        </w:tc>
        <w:tc>
          <w:tcPr>
            <w:tcW w:type="dxa" w:w="1150"/>
            <w:tcMar>
              <w:top w:w="80" w:type="dxa"/>
              <w:start w:w="100" w:type="dxa"/>
              <w:bottom w:w="80" w:type="dxa"/>
              <w:end w:w="100" w:type="dxa"/>
            </w:tcMar>
            <w:vAlign w:val="center"/>
          </w:tcPr>
          <w:p>
            <w:pPr>
              <w:keepLines/>
              <w:spacing w:after="0"/>
              <w:jc w:val="center"/>
            </w:pPr>
            <w:r>
              <w:rPr>
                <w:sz w:val="19"/>
              </w:rPr>
              <w:t>0.4598</w:t>
            </w:r>
          </w:p>
        </w:tc>
        <w:tc>
          <w:tcPr>
            <w:tcW w:type="dxa" w:w="1650"/>
            <w:tcMar>
              <w:top w:w="80" w:type="dxa"/>
              <w:start w:w="100" w:type="dxa"/>
              <w:bottom w:w="80" w:type="dxa"/>
              <w:end w:w="100" w:type="dxa"/>
            </w:tcMar>
            <w:vAlign w:val="center"/>
          </w:tcPr>
          <w:p>
            <w:pPr>
              <w:keepLines/>
              <w:spacing w:after="0"/>
              <w:jc w:val="center"/>
            </w:pPr>
            <w:r>
              <w:rPr>
                <w:sz w:val="19"/>
              </w:rPr>
              <w:t>6.13</w:t>
            </w:r>
          </w:p>
        </w:tc>
        <w:tc>
          <w:tcPr>
            <w:tcW w:type="dxa" w:w="1550"/>
            <w:tcMar>
              <w:top w:w="80" w:type="dxa"/>
              <w:start w:w="100" w:type="dxa"/>
              <w:bottom w:w="80" w:type="dxa"/>
              <w:end w:w="100" w:type="dxa"/>
            </w:tcMar>
            <w:vAlign w:val="center"/>
          </w:tcPr>
          <w:p>
            <w:pPr>
              <w:keepLines/>
              <w:spacing w:after="0"/>
              <w:jc w:val="center"/>
            </w:pPr>
            <w:r>
              <w:rPr>
                <w:sz w:val="19"/>
              </w:rPr>
              <w:t>7.33</w:t>
            </w:r>
          </w:p>
        </w:tc>
      </w:tr>
      <w:tr>
        <w:tc>
          <w:tcPr>
            <w:tcW w:type="dxa" w:w="2550"/>
            <w:tcMar>
              <w:top w:w="80" w:type="dxa"/>
              <w:start w:w="100" w:type="dxa"/>
              <w:bottom w:w="80" w:type="dxa"/>
              <w:end w:w="100" w:type="dxa"/>
            </w:tcMar>
            <w:vAlign w:val="center"/>
          </w:tcPr>
          <w:p>
            <w:pPr>
              <w:keepLines/>
              <w:spacing w:after="0"/>
              <w:jc w:val="left"/>
            </w:pPr>
            <w:r>
              <w:rPr>
                <w:sz w:val="19"/>
              </w:rPr>
              <w:t>LSTM-TCN ensemble</w:t>
            </w:r>
          </w:p>
        </w:tc>
        <w:tc>
          <w:tcPr>
            <w:tcW w:type="dxa" w:w="900"/>
            <w:tcMar>
              <w:top w:w="80" w:type="dxa"/>
              <w:start w:w="100" w:type="dxa"/>
              <w:bottom w:w="80" w:type="dxa"/>
              <w:end w:w="100" w:type="dxa"/>
            </w:tcMar>
            <w:vAlign w:val="center"/>
          </w:tcPr>
          <w:p>
            <w:pPr>
              <w:keepLines/>
              <w:spacing w:after="0"/>
              <w:jc w:val="left"/>
            </w:pPr>
            <w:r>
              <w:rPr>
                <w:sz w:val="19"/>
              </w:rPr>
              <w:t>42 h</w:t>
            </w:r>
          </w:p>
        </w:tc>
        <w:tc>
          <w:tcPr>
            <w:tcW w:type="dxa" w:w="1650"/>
            <w:tcMar>
              <w:top w:w="80" w:type="dxa"/>
              <w:start w:w="100" w:type="dxa"/>
              <w:bottom w:w="80" w:type="dxa"/>
              <w:end w:w="100" w:type="dxa"/>
            </w:tcMar>
            <w:vAlign w:val="center"/>
          </w:tcPr>
          <w:p>
            <w:pPr>
              <w:keepLines/>
              <w:spacing w:after="0"/>
              <w:jc w:val="center"/>
            </w:pPr>
            <w:r>
              <w:rPr>
                <w:sz w:val="19"/>
              </w:rPr>
              <w:t>0.2041</w:t>
            </w:r>
          </w:p>
        </w:tc>
        <w:tc>
          <w:tcPr>
            <w:tcW w:type="dxa" w:w="1150"/>
            <w:tcMar>
              <w:top w:w="80" w:type="dxa"/>
              <w:start w:w="100" w:type="dxa"/>
              <w:bottom w:w="80" w:type="dxa"/>
              <w:end w:w="100" w:type="dxa"/>
            </w:tcMar>
            <w:vAlign w:val="center"/>
          </w:tcPr>
          <w:p>
            <w:pPr>
              <w:keepLines/>
              <w:spacing w:after="0"/>
              <w:jc w:val="center"/>
            </w:pPr>
            <w:r>
              <w:rPr>
                <w:sz w:val="19"/>
              </w:rPr>
              <w:t>0.4927</w:t>
            </w:r>
          </w:p>
        </w:tc>
        <w:tc>
          <w:tcPr>
            <w:tcW w:type="dxa" w:w="1650"/>
            <w:tcMar>
              <w:top w:w="80" w:type="dxa"/>
              <w:start w:w="100" w:type="dxa"/>
              <w:bottom w:w="80" w:type="dxa"/>
              <w:end w:w="100" w:type="dxa"/>
            </w:tcMar>
            <w:vAlign w:val="center"/>
          </w:tcPr>
          <w:p>
            <w:pPr>
              <w:keepLines/>
              <w:spacing w:after="0"/>
              <w:jc w:val="center"/>
            </w:pPr>
            <w:r>
              <w:rPr>
                <w:sz w:val="19"/>
              </w:rPr>
              <w:t>9.03</w:t>
            </w:r>
          </w:p>
        </w:tc>
        <w:tc>
          <w:tcPr>
            <w:tcW w:type="dxa" w:w="1550"/>
            <w:tcMar>
              <w:top w:w="80" w:type="dxa"/>
              <w:start w:w="100" w:type="dxa"/>
              <w:bottom w:w="80" w:type="dxa"/>
              <w:end w:w="100" w:type="dxa"/>
            </w:tcMar>
            <w:vAlign w:val="center"/>
          </w:tcPr>
          <w:p>
            <w:pPr>
              <w:keepLines/>
              <w:spacing w:after="0"/>
              <w:jc w:val="center"/>
            </w:pPr>
            <w:r>
              <w:rPr>
                <w:sz w:val="19"/>
              </w:rPr>
              <w:t>10.04</w:t>
            </w:r>
          </w:p>
        </w:tc>
      </w:tr>
      <w:tr>
        <w:tc>
          <w:tcPr>
            <w:tcW w:type="dxa" w:w="2550"/>
            <w:tcMar>
              <w:top w:w="80" w:type="dxa"/>
              <w:start w:w="100" w:type="dxa"/>
              <w:bottom w:w="80" w:type="dxa"/>
              <w:end w:w="100" w:type="dxa"/>
            </w:tcMar>
            <w:vAlign w:val="center"/>
          </w:tcPr>
          <w:p>
            <w:pPr>
              <w:keepLines/>
              <w:spacing w:after="0"/>
              <w:jc w:val="left"/>
            </w:pPr>
            <w:r>
              <w:rPr>
                <w:sz w:val="19"/>
              </w:rPr>
              <w:t>Chronos-2, calibrated</w:t>
            </w:r>
          </w:p>
        </w:tc>
        <w:tc>
          <w:tcPr>
            <w:tcW w:type="dxa" w:w="900"/>
            <w:tcMar>
              <w:top w:w="80" w:type="dxa"/>
              <w:start w:w="100" w:type="dxa"/>
              <w:bottom w:w="80" w:type="dxa"/>
              <w:end w:w="100" w:type="dxa"/>
            </w:tcMar>
            <w:vAlign w:val="center"/>
          </w:tcPr>
          <w:p>
            <w:pPr>
              <w:keepLines/>
              <w:spacing w:after="0"/>
              <w:jc w:val="left"/>
            </w:pPr>
            <w:r>
              <w:rPr>
                <w:sz w:val="19"/>
              </w:rPr>
              <w:t>72 h</w:t>
            </w:r>
          </w:p>
        </w:tc>
        <w:tc>
          <w:tcPr>
            <w:tcW w:type="dxa" w:w="1650"/>
            <w:tcMar>
              <w:top w:w="80" w:type="dxa"/>
              <w:start w:w="100" w:type="dxa"/>
              <w:bottom w:w="80" w:type="dxa"/>
              <w:end w:w="100" w:type="dxa"/>
            </w:tcMar>
            <w:vAlign w:val="center"/>
          </w:tcPr>
          <w:p>
            <w:pPr>
              <w:keepLines/>
              <w:spacing w:after="0"/>
              <w:jc w:val="center"/>
            </w:pPr>
            <w:r>
              <w:rPr>
                <w:sz w:val="19"/>
              </w:rPr>
              <w:t>0.2054</w:t>
            </w:r>
          </w:p>
        </w:tc>
        <w:tc>
          <w:tcPr>
            <w:tcW w:type="dxa" w:w="1150"/>
            <w:tcMar>
              <w:top w:w="80" w:type="dxa"/>
              <w:start w:w="100" w:type="dxa"/>
              <w:bottom w:w="80" w:type="dxa"/>
              <w:end w:w="100" w:type="dxa"/>
            </w:tcMar>
            <w:vAlign w:val="center"/>
          </w:tcPr>
          <w:p>
            <w:pPr>
              <w:keepLines/>
              <w:spacing w:after="0"/>
              <w:jc w:val="center"/>
            </w:pPr>
            <w:r>
              <w:rPr>
                <w:sz w:val="19"/>
              </w:rPr>
              <w:t>0.4861</w:t>
            </w:r>
          </w:p>
        </w:tc>
        <w:tc>
          <w:tcPr>
            <w:tcW w:type="dxa" w:w="1650"/>
            <w:tcMar>
              <w:top w:w="80" w:type="dxa"/>
              <w:start w:w="100" w:type="dxa"/>
              <w:bottom w:w="80" w:type="dxa"/>
              <w:end w:w="100" w:type="dxa"/>
            </w:tcMar>
            <w:vAlign w:val="center"/>
          </w:tcPr>
          <w:p>
            <w:pPr>
              <w:keepLines/>
              <w:spacing w:after="0"/>
              <w:jc w:val="center"/>
            </w:pPr>
            <w:r>
              <w:rPr>
                <w:sz w:val="19"/>
              </w:rPr>
              <w:t>8.45</w:t>
            </w:r>
          </w:p>
        </w:tc>
        <w:tc>
          <w:tcPr>
            <w:tcW w:type="dxa" w:w="1550"/>
            <w:tcMar>
              <w:top w:w="80" w:type="dxa"/>
              <w:start w:w="100" w:type="dxa"/>
              <w:bottom w:w="80" w:type="dxa"/>
              <w:end w:w="100" w:type="dxa"/>
            </w:tcMar>
            <w:vAlign w:val="center"/>
          </w:tcPr>
          <w:p>
            <w:pPr>
              <w:keepLines/>
              <w:spacing w:after="0"/>
              <w:jc w:val="center"/>
            </w:pPr>
            <w:r>
              <w:rPr>
                <w:sz w:val="19"/>
              </w:rPr>
              <w:t>9.34</w:t>
            </w:r>
          </w:p>
        </w:tc>
      </w:tr>
      <w:tr>
        <w:tc>
          <w:tcPr>
            <w:tcW w:type="dxa" w:w="2550"/>
            <w:tcMar>
              <w:top w:w="80" w:type="dxa"/>
              <w:start w:w="100" w:type="dxa"/>
              <w:bottom w:w="80" w:type="dxa"/>
              <w:end w:w="100" w:type="dxa"/>
            </w:tcMar>
            <w:vAlign w:val="center"/>
          </w:tcPr>
          <w:p>
            <w:pPr>
              <w:keepLines/>
              <w:spacing w:after="0"/>
              <w:jc w:val="left"/>
            </w:pPr>
            <w:r>
              <w:rPr>
                <w:sz w:val="19"/>
              </w:rPr>
              <w:t>Chronos-2, calibrated</w:t>
            </w:r>
          </w:p>
        </w:tc>
        <w:tc>
          <w:tcPr>
            <w:tcW w:type="dxa" w:w="900"/>
            <w:tcMar>
              <w:top w:w="80" w:type="dxa"/>
              <w:start w:w="100" w:type="dxa"/>
              <w:bottom w:w="80" w:type="dxa"/>
              <w:end w:w="100" w:type="dxa"/>
            </w:tcMar>
            <w:vAlign w:val="center"/>
          </w:tcPr>
          <w:p>
            <w:pPr>
              <w:keepLines/>
              <w:spacing w:after="0"/>
              <w:jc w:val="left"/>
            </w:pPr>
            <w:r>
              <w:rPr>
                <w:sz w:val="19"/>
              </w:rPr>
              <w:t>42 h</w:t>
            </w:r>
          </w:p>
        </w:tc>
        <w:tc>
          <w:tcPr>
            <w:tcW w:type="dxa" w:w="1650"/>
            <w:tcMar>
              <w:top w:w="80" w:type="dxa"/>
              <w:start w:w="100" w:type="dxa"/>
              <w:bottom w:w="80" w:type="dxa"/>
              <w:end w:w="100" w:type="dxa"/>
            </w:tcMar>
            <w:vAlign w:val="center"/>
          </w:tcPr>
          <w:p>
            <w:pPr>
              <w:keepLines/>
              <w:spacing w:after="0"/>
              <w:jc w:val="center"/>
            </w:pPr>
            <w:r>
              <w:rPr>
                <w:sz w:val="19"/>
              </w:rPr>
              <w:t>0.2008</w:t>
            </w:r>
          </w:p>
        </w:tc>
        <w:tc>
          <w:tcPr>
            <w:tcW w:type="dxa" w:w="1150"/>
            <w:tcMar>
              <w:top w:w="80" w:type="dxa"/>
              <w:start w:w="100" w:type="dxa"/>
              <w:bottom w:w="80" w:type="dxa"/>
              <w:end w:w="100" w:type="dxa"/>
            </w:tcMar>
            <w:vAlign w:val="center"/>
          </w:tcPr>
          <w:p>
            <w:pPr>
              <w:keepLines/>
              <w:spacing w:after="0"/>
              <w:jc w:val="center"/>
            </w:pPr>
            <w:r>
              <w:rPr>
                <w:sz w:val="19"/>
              </w:rPr>
              <w:t>0.5087</w:t>
            </w:r>
          </w:p>
        </w:tc>
        <w:tc>
          <w:tcPr>
            <w:tcW w:type="dxa" w:w="1650"/>
            <w:tcMar>
              <w:top w:w="80" w:type="dxa"/>
              <w:start w:w="100" w:type="dxa"/>
              <w:bottom w:w="80" w:type="dxa"/>
              <w:end w:w="100" w:type="dxa"/>
            </w:tcMar>
            <w:vAlign w:val="center"/>
          </w:tcPr>
          <w:p>
            <w:pPr>
              <w:keepLines/>
              <w:spacing w:after="0"/>
              <w:jc w:val="center"/>
            </w:pPr>
            <w:r>
              <w:rPr>
                <w:sz w:val="19"/>
              </w:rPr>
              <w:t>10.48</w:t>
            </w:r>
          </w:p>
        </w:tc>
        <w:tc>
          <w:tcPr>
            <w:tcW w:type="dxa" w:w="1550"/>
            <w:tcMar>
              <w:top w:w="80" w:type="dxa"/>
              <w:start w:w="100" w:type="dxa"/>
              <w:bottom w:w="80" w:type="dxa"/>
              <w:end w:w="100" w:type="dxa"/>
            </w:tcMar>
            <w:vAlign w:val="center"/>
          </w:tcPr>
          <w:p>
            <w:pPr>
              <w:keepLines/>
              <w:spacing w:after="0"/>
              <w:jc w:val="center"/>
            </w:pPr>
            <w:r>
              <w:rPr>
                <w:sz w:val="19"/>
              </w:rPr>
              <w:t>12.99</w:t>
            </w:r>
          </w:p>
        </w:tc>
      </w:tr>
    </w:tbl>
    <w:p>
      <w:pPr>
        <w:spacing w:after="40"/>
      </w:pPr>
    </w:p>
    <w:p>
      <w:pPr>
        <w:widowControl/>
        <w:jc w:val="both"/>
      </w:pPr>
      <w:r>
        <w:rPr>
          <w:strike w:val="0"/>
        </w:rPr>
        <w:t>The model ranking was close enough to discourage a definitive winner claim. TCN and calibrated Chronos-2 differed by only 0.0010 mS/cm under the 42-hour representation, while the ensemble traded a small amount of point accuracy for a combination intended to reduce model-specific variance and fixed before the test was opened. Importantly, August validation selected the ensemble in both representation regimes, whereas the manual 42-hour TCN ranked first in September. This validation-test reversal indicates that small numerical differences among the leading models may not be stable across hydrological periods.</w:t>
      </w:r>
    </w:p>
    <w:p>
      <w:pPr>
        <w:pStyle w:val="Heading2"/>
        <w:keepNext/>
        <w:keepLines/>
        <w:pageBreakBefore w:val="0"/>
      </w:pPr>
      <w:r>
        <w:rPr>
          <w:strike w:val="0"/>
        </w:rPr>
        <w:t>6.2 Horizon and Rapid-Change Behavior</w:t>
      </w:r>
    </w:p>
    <w:p>
      <w:pPr>
        <w:widowControl/>
        <w:jc w:val="both"/>
      </w:pPr>
      <w:r>
        <w:rPr>
          <w:strike w:val="0"/>
        </w:rPr>
        <w:t>Persistence remained a demanding baseline because conductivity is strongly autocorrelated, but the learned corrections became more valuable toward the four-hour endpoint. Table 2 shows that the manual 42-hour TCN and calibrated Chronos-2 reached 12.05% and 12.99% endpoint skill, respectively. The same configurations also retained substantial gains for the largest 10% of observed target changes. Thus, their advantage was not restricted to quiescent periods, although rapid-change trajectories remained intrinsically difficult.</w:t>
      </w:r>
    </w:p>
    <w:p>
      <w:pPr>
        <w:pStyle w:val="Caption1"/>
        <w:keepNext/>
      </w:pPr>
      <w:r>
        <w:rPr>
          <w:strike w:val="0"/>
        </w:rPr>
        <w:t>Table 2. Endpoint and rapid-change diagnostics relative to persistence (higher skill is better).</w:t>
      </w:r>
    </w:p>
    <w:tbl>
      <w:tblPr>
        <w:tblW w:type="dxa" w:w="9550"/>
        <w:jc w:val="center"/>
        <w:tblLayout w:type="fixed"/>
        <w:tblLook w:firstColumn="1" w:firstRow="1" w:lastColumn="0" w:lastRow="0" w:noHBand="0" w:noVBand="1" w:val="04A0"/>
        <w:tblInd w:w="100" w:type="dxa"/>
        <w:tblBorders>
          <w:top w:val="single" w:sz="4" w:space="0" w:color="8C8C8C"/>
          <w:start w:val="single" w:sz="4" w:space="0" w:color="8C8C8C"/>
          <w:bottom w:val="single" w:sz="4" w:space="0" w:color="8C8C8C"/>
          <w:end w:val="single" w:sz="4" w:space="0" w:color="8C8C8C"/>
          <w:insideH w:val="single" w:sz="4" w:space="0" w:color="8C8C8C"/>
          <w:insideV w:val="single" w:sz="4" w:space="0" w:color="8C8C8C"/>
        </w:tblBorders>
      </w:tblPr>
      <w:tblGrid>
        <w:gridCol w:w="2350"/>
        <w:gridCol w:w="800"/>
        <w:gridCol w:w="1300"/>
        <w:gridCol w:w="1450"/>
        <w:gridCol w:w="1850"/>
        <w:gridCol w:w="1800"/>
      </w:tblGrid>
      <w:tr>
        <w:trPr>
          <w:tblHeader w:val="true"/>
        </w:trPr>
        <w:tc>
          <w:tcPr>
            <w:tcW w:type="dxa" w:w="2350"/>
            <w:shd w:fill="D9E2F3" w:val="clear"/>
            <w:tcMar>
              <w:top w:w="80" w:type="dxa"/>
              <w:start w:w="100" w:type="dxa"/>
              <w:bottom w:w="80" w:type="dxa"/>
              <w:end w:w="100" w:type="dxa"/>
            </w:tcMar>
            <w:vAlign w:val="center"/>
          </w:tcPr>
          <w:p>
            <w:pPr>
              <w:spacing w:after="0"/>
              <w:jc w:val="left"/>
            </w:pPr>
            <w:r>
              <w:rPr>
                <w:b/>
                <w:sz w:val="19"/>
              </w:rPr>
              <w:t>Model</w:t>
            </w:r>
          </w:p>
        </w:tc>
        <w:tc>
          <w:tcPr>
            <w:tcW w:type="dxa" w:w="800"/>
            <w:shd w:fill="D9E2F3" w:val="clear"/>
            <w:tcMar>
              <w:top w:w="80" w:type="dxa"/>
              <w:start w:w="100" w:type="dxa"/>
              <w:bottom w:w="80" w:type="dxa"/>
              <w:end w:w="100" w:type="dxa"/>
            </w:tcMar>
            <w:vAlign w:val="center"/>
          </w:tcPr>
          <w:p>
            <w:pPr>
              <w:spacing w:after="0"/>
              <w:jc w:val="left"/>
            </w:pPr>
            <w:r>
              <w:rPr>
                <w:b/>
                <w:sz w:val="19"/>
              </w:rPr>
              <w:t>Input</w:t>
            </w:r>
          </w:p>
        </w:tc>
        <w:tc>
          <w:tcPr>
            <w:tcW w:type="dxa" w:w="1300"/>
            <w:shd w:fill="D9E2F3" w:val="clear"/>
            <w:tcMar>
              <w:top w:w="80" w:type="dxa"/>
              <w:start w:w="100" w:type="dxa"/>
              <w:bottom w:w="80" w:type="dxa"/>
              <w:end w:w="100" w:type="dxa"/>
            </w:tcMar>
            <w:vAlign w:val="center"/>
          </w:tcPr>
          <w:p>
            <w:pPr>
              <w:spacing w:after="0"/>
              <w:jc w:val="center"/>
            </w:pPr>
            <w:r>
              <w:rPr>
                <w:b/>
                <w:sz w:val="19"/>
              </w:rPr>
              <w:t>4 h RMSE</w:t>
            </w:r>
          </w:p>
        </w:tc>
        <w:tc>
          <w:tcPr>
            <w:tcW w:type="dxa" w:w="1450"/>
            <w:shd w:fill="D9E2F3" w:val="clear"/>
            <w:tcMar>
              <w:top w:w="80" w:type="dxa"/>
              <w:start w:w="100" w:type="dxa"/>
              <w:bottom w:w="80" w:type="dxa"/>
              <w:end w:w="100" w:type="dxa"/>
            </w:tcMar>
            <w:vAlign w:val="center"/>
          </w:tcPr>
          <w:p>
            <w:pPr>
              <w:spacing w:after="0"/>
              <w:jc w:val="center"/>
            </w:pPr>
            <w:r>
              <w:rPr>
                <w:b/>
                <w:sz w:val="19"/>
              </w:rPr>
              <w:t>4 h skill (%)</w:t>
            </w:r>
          </w:p>
        </w:tc>
        <w:tc>
          <w:tcPr>
            <w:tcW w:type="dxa" w:w="1850"/>
            <w:shd w:fill="D9E2F3" w:val="clear"/>
            <w:tcMar>
              <w:top w:w="80" w:type="dxa"/>
              <w:start w:w="100" w:type="dxa"/>
              <w:bottom w:w="80" w:type="dxa"/>
              <w:end w:w="100" w:type="dxa"/>
            </w:tcMar>
            <w:vAlign w:val="center"/>
          </w:tcPr>
          <w:p>
            <w:pPr>
              <w:spacing w:after="0"/>
              <w:jc w:val="center"/>
            </w:pPr>
            <w:r>
              <w:rPr>
                <w:b/>
                <w:sz w:val="19"/>
              </w:rPr>
              <w:t>Largest-change RMSE</w:t>
            </w:r>
          </w:p>
        </w:tc>
        <w:tc>
          <w:tcPr>
            <w:tcW w:type="dxa" w:w="1800"/>
            <w:shd w:fill="D9E2F3" w:val="clear"/>
            <w:tcMar>
              <w:top w:w="80" w:type="dxa"/>
              <w:start w:w="100" w:type="dxa"/>
              <w:bottom w:w="80" w:type="dxa"/>
              <w:end w:w="100" w:type="dxa"/>
            </w:tcMar>
            <w:vAlign w:val="center"/>
          </w:tcPr>
          <w:p>
            <w:pPr>
              <w:spacing w:after="0"/>
              <w:jc w:val="center"/>
            </w:pPr>
            <w:r>
              <w:rPr>
                <w:b/>
                <w:sz w:val="19"/>
              </w:rPr>
              <w:t>Largest-change skill (%)</w:t>
            </w:r>
          </w:p>
        </w:tc>
      </w:tr>
      <w:tr>
        <w:tc>
          <w:tcPr>
            <w:tcW w:type="dxa" w:w="2350"/>
            <w:tcMar>
              <w:top w:w="80" w:type="dxa"/>
              <w:start w:w="100" w:type="dxa"/>
              <w:bottom w:w="80" w:type="dxa"/>
              <w:end w:w="100" w:type="dxa"/>
            </w:tcMar>
            <w:vAlign w:val="center"/>
          </w:tcPr>
          <w:p>
            <w:pPr>
              <w:keepLines/>
              <w:spacing w:after="0"/>
              <w:jc w:val="left"/>
            </w:pPr>
            <w:r>
              <w:rPr>
                <w:sz w:val="19"/>
              </w:rPr>
              <w:t>LSTM</w:t>
            </w:r>
          </w:p>
        </w:tc>
        <w:tc>
          <w:tcPr>
            <w:tcW w:type="dxa" w:w="800"/>
            <w:tcMar>
              <w:top w:w="80" w:type="dxa"/>
              <w:start w:w="100" w:type="dxa"/>
              <w:bottom w:w="80" w:type="dxa"/>
              <w:end w:w="100" w:type="dxa"/>
            </w:tcMar>
            <w:vAlign w:val="center"/>
          </w:tcPr>
          <w:p>
            <w:pPr>
              <w:keepLines/>
              <w:spacing w:after="0"/>
              <w:jc w:val="left"/>
            </w:pPr>
            <w:r>
              <w:rPr>
                <w:sz w:val="19"/>
              </w:rPr>
              <w:t>72 h</w:t>
            </w:r>
          </w:p>
        </w:tc>
        <w:tc>
          <w:tcPr>
            <w:tcW w:type="dxa" w:w="1300"/>
            <w:tcMar>
              <w:top w:w="80" w:type="dxa"/>
              <w:start w:w="100" w:type="dxa"/>
              <w:bottom w:w="80" w:type="dxa"/>
              <w:end w:w="100" w:type="dxa"/>
            </w:tcMar>
            <w:vAlign w:val="center"/>
          </w:tcPr>
          <w:p>
            <w:pPr>
              <w:keepLines/>
              <w:spacing w:after="0"/>
              <w:jc w:val="center"/>
            </w:pPr>
            <w:r>
              <w:rPr>
                <w:sz w:val="19"/>
              </w:rPr>
              <w:t>0.2627</w:t>
            </w:r>
          </w:p>
        </w:tc>
        <w:tc>
          <w:tcPr>
            <w:tcW w:type="dxa" w:w="1450"/>
            <w:tcMar>
              <w:top w:w="80" w:type="dxa"/>
              <w:start w:w="100" w:type="dxa"/>
              <w:bottom w:w="80" w:type="dxa"/>
              <w:end w:w="100" w:type="dxa"/>
            </w:tcMar>
            <w:vAlign w:val="center"/>
          </w:tcPr>
          <w:p>
            <w:pPr>
              <w:keepLines/>
              <w:spacing w:after="0"/>
              <w:jc w:val="center"/>
            </w:pPr>
            <w:r>
              <w:rPr>
                <w:sz w:val="19"/>
              </w:rPr>
              <w:t>6.82</w:t>
            </w:r>
          </w:p>
        </w:tc>
        <w:tc>
          <w:tcPr>
            <w:tcW w:type="dxa" w:w="1850"/>
            <w:tcMar>
              <w:top w:w="80" w:type="dxa"/>
              <w:start w:w="100" w:type="dxa"/>
              <w:bottom w:w="80" w:type="dxa"/>
              <w:end w:w="100" w:type="dxa"/>
            </w:tcMar>
            <w:vAlign w:val="center"/>
          </w:tcPr>
          <w:p>
            <w:pPr>
              <w:keepLines/>
              <w:spacing w:after="0"/>
              <w:jc w:val="center"/>
            </w:pPr>
            <w:r>
              <w:rPr>
                <w:sz w:val="19"/>
              </w:rPr>
              <w:t>0.5363</w:t>
            </w:r>
          </w:p>
        </w:tc>
        <w:tc>
          <w:tcPr>
            <w:tcW w:type="dxa" w:w="1800"/>
            <w:tcMar>
              <w:top w:w="80" w:type="dxa"/>
              <w:start w:w="100" w:type="dxa"/>
              <w:bottom w:w="80" w:type="dxa"/>
              <w:end w:w="100" w:type="dxa"/>
            </w:tcMar>
            <w:vAlign w:val="center"/>
          </w:tcPr>
          <w:p>
            <w:pPr>
              <w:keepLines/>
              <w:spacing w:after="0"/>
              <w:jc w:val="center"/>
            </w:pPr>
            <w:r>
              <w:rPr>
                <w:sz w:val="19"/>
              </w:rPr>
              <w:t>8.31</w:t>
            </w:r>
          </w:p>
        </w:tc>
      </w:tr>
      <w:tr>
        <w:tc>
          <w:tcPr>
            <w:tcW w:type="dxa" w:w="2350"/>
            <w:tcMar>
              <w:top w:w="80" w:type="dxa"/>
              <w:start w:w="100" w:type="dxa"/>
              <w:bottom w:w="80" w:type="dxa"/>
              <w:end w:w="100" w:type="dxa"/>
            </w:tcMar>
            <w:vAlign w:val="center"/>
          </w:tcPr>
          <w:p>
            <w:pPr>
              <w:keepLines/>
              <w:spacing w:after="0"/>
              <w:jc w:val="left"/>
            </w:pPr>
            <w:r>
              <w:rPr>
                <w:sz w:val="19"/>
              </w:rPr>
              <w:t>LSTM</w:t>
            </w:r>
          </w:p>
        </w:tc>
        <w:tc>
          <w:tcPr>
            <w:tcW w:type="dxa" w:w="800"/>
            <w:tcMar>
              <w:top w:w="80" w:type="dxa"/>
              <w:start w:w="100" w:type="dxa"/>
              <w:bottom w:w="80" w:type="dxa"/>
              <w:end w:w="100" w:type="dxa"/>
            </w:tcMar>
            <w:vAlign w:val="center"/>
          </w:tcPr>
          <w:p>
            <w:pPr>
              <w:keepLines/>
              <w:spacing w:after="0"/>
              <w:jc w:val="left"/>
            </w:pPr>
            <w:r>
              <w:rPr>
                <w:sz w:val="19"/>
              </w:rPr>
              <w:t>42 h</w:t>
            </w:r>
          </w:p>
        </w:tc>
        <w:tc>
          <w:tcPr>
            <w:tcW w:type="dxa" w:w="1300"/>
            <w:tcMar>
              <w:top w:w="80" w:type="dxa"/>
              <w:start w:w="100" w:type="dxa"/>
              <w:bottom w:w="80" w:type="dxa"/>
              <w:end w:w="100" w:type="dxa"/>
            </w:tcMar>
            <w:vAlign w:val="center"/>
          </w:tcPr>
          <w:p>
            <w:pPr>
              <w:keepLines/>
              <w:spacing w:after="0"/>
              <w:jc w:val="center"/>
            </w:pPr>
            <w:r>
              <w:rPr>
                <w:sz w:val="19"/>
              </w:rPr>
              <w:t>0.2626</w:t>
            </w:r>
          </w:p>
        </w:tc>
        <w:tc>
          <w:tcPr>
            <w:tcW w:type="dxa" w:w="1450"/>
            <w:tcMar>
              <w:top w:w="80" w:type="dxa"/>
              <w:start w:w="100" w:type="dxa"/>
              <w:bottom w:w="80" w:type="dxa"/>
              <w:end w:w="100" w:type="dxa"/>
            </w:tcMar>
            <w:vAlign w:val="center"/>
          </w:tcPr>
          <w:p>
            <w:pPr>
              <w:keepLines/>
              <w:spacing w:after="0"/>
              <w:jc w:val="center"/>
            </w:pPr>
            <w:r>
              <w:rPr>
                <w:sz w:val="19"/>
              </w:rPr>
              <w:t>6.86</w:t>
            </w:r>
          </w:p>
        </w:tc>
        <w:tc>
          <w:tcPr>
            <w:tcW w:type="dxa" w:w="1850"/>
            <w:tcMar>
              <w:top w:w="80" w:type="dxa"/>
              <w:start w:w="100" w:type="dxa"/>
              <w:bottom w:w="80" w:type="dxa"/>
              <w:end w:w="100" w:type="dxa"/>
            </w:tcMar>
            <w:vAlign w:val="center"/>
          </w:tcPr>
          <w:p>
            <w:pPr>
              <w:keepLines/>
              <w:spacing w:after="0"/>
              <w:jc w:val="center"/>
            </w:pPr>
            <w:r>
              <w:rPr>
                <w:sz w:val="19"/>
              </w:rPr>
              <w:t>0.5149</w:t>
            </w:r>
          </w:p>
        </w:tc>
        <w:tc>
          <w:tcPr>
            <w:tcW w:type="dxa" w:w="1800"/>
            <w:tcMar>
              <w:top w:w="80" w:type="dxa"/>
              <w:start w:w="100" w:type="dxa"/>
              <w:bottom w:w="80" w:type="dxa"/>
              <w:end w:w="100" w:type="dxa"/>
            </w:tcMar>
            <w:vAlign w:val="center"/>
          </w:tcPr>
          <w:p>
            <w:pPr>
              <w:keepLines/>
              <w:spacing w:after="0"/>
              <w:jc w:val="center"/>
            </w:pPr>
            <w:r>
              <w:rPr>
                <w:sz w:val="19"/>
              </w:rPr>
              <w:t>11.96</w:t>
            </w:r>
          </w:p>
        </w:tc>
      </w:tr>
      <w:tr>
        <w:tc>
          <w:tcPr>
            <w:tcW w:type="dxa" w:w="2350"/>
            <w:tcMar>
              <w:top w:w="80" w:type="dxa"/>
              <w:start w:w="100" w:type="dxa"/>
              <w:bottom w:w="80" w:type="dxa"/>
              <w:end w:w="100" w:type="dxa"/>
            </w:tcMar>
            <w:vAlign w:val="center"/>
          </w:tcPr>
          <w:p>
            <w:pPr>
              <w:keepLines/>
              <w:spacing w:after="0"/>
              <w:jc w:val="left"/>
            </w:pPr>
            <w:r>
              <w:rPr>
                <w:sz w:val="19"/>
              </w:rPr>
              <w:t>TCN</w:t>
            </w:r>
          </w:p>
        </w:tc>
        <w:tc>
          <w:tcPr>
            <w:tcW w:type="dxa" w:w="800"/>
            <w:tcMar>
              <w:top w:w="80" w:type="dxa"/>
              <w:start w:w="100" w:type="dxa"/>
              <w:bottom w:w="80" w:type="dxa"/>
              <w:end w:w="100" w:type="dxa"/>
            </w:tcMar>
            <w:vAlign w:val="center"/>
          </w:tcPr>
          <w:p>
            <w:pPr>
              <w:keepLines/>
              <w:spacing w:after="0"/>
              <w:jc w:val="left"/>
            </w:pPr>
            <w:r>
              <w:rPr>
                <w:sz w:val="19"/>
              </w:rPr>
              <w:t>72 h</w:t>
            </w:r>
          </w:p>
        </w:tc>
        <w:tc>
          <w:tcPr>
            <w:tcW w:type="dxa" w:w="1300"/>
            <w:tcMar>
              <w:top w:w="80" w:type="dxa"/>
              <w:start w:w="100" w:type="dxa"/>
              <w:bottom w:w="80" w:type="dxa"/>
              <w:end w:w="100" w:type="dxa"/>
            </w:tcMar>
            <w:vAlign w:val="center"/>
          </w:tcPr>
          <w:p>
            <w:pPr>
              <w:keepLines/>
              <w:spacing w:after="0"/>
              <w:jc w:val="center"/>
            </w:pPr>
            <w:r>
              <w:rPr>
                <w:sz w:val="19"/>
              </w:rPr>
              <w:t>0.2624</w:t>
            </w:r>
          </w:p>
        </w:tc>
        <w:tc>
          <w:tcPr>
            <w:tcW w:type="dxa" w:w="1450"/>
            <w:tcMar>
              <w:top w:w="80" w:type="dxa"/>
              <w:start w:w="100" w:type="dxa"/>
              <w:bottom w:w="80" w:type="dxa"/>
              <w:end w:w="100" w:type="dxa"/>
            </w:tcMar>
            <w:vAlign w:val="center"/>
          </w:tcPr>
          <w:p>
            <w:pPr>
              <w:keepLines/>
              <w:spacing w:after="0"/>
              <w:jc w:val="center"/>
            </w:pPr>
            <w:r>
              <w:rPr>
                <w:sz w:val="19"/>
              </w:rPr>
              <w:t>6.93</w:t>
            </w:r>
          </w:p>
        </w:tc>
        <w:tc>
          <w:tcPr>
            <w:tcW w:type="dxa" w:w="1850"/>
            <w:tcMar>
              <w:top w:w="80" w:type="dxa"/>
              <w:start w:w="100" w:type="dxa"/>
              <w:bottom w:w="80" w:type="dxa"/>
              <w:end w:w="100" w:type="dxa"/>
            </w:tcMar>
            <w:vAlign w:val="center"/>
          </w:tcPr>
          <w:p>
            <w:pPr>
              <w:keepLines/>
              <w:spacing w:after="0"/>
              <w:jc w:val="center"/>
            </w:pPr>
            <w:r>
              <w:rPr>
                <w:sz w:val="19"/>
              </w:rPr>
              <w:t>0.5399</w:t>
            </w:r>
          </w:p>
        </w:tc>
        <w:tc>
          <w:tcPr>
            <w:tcW w:type="dxa" w:w="1800"/>
            <w:tcMar>
              <w:top w:w="80" w:type="dxa"/>
              <w:start w:w="100" w:type="dxa"/>
              <w:bottom w:w="80" w:type="dxa"/>
              <w:end w:w="100" w:type="dxa"/>
            </w:tcMar>
            <w:vAlign w:val="center"/>
          </w:tcPr>
          <w:p>
            <w:pPr>
              <w:keepLines/>
              <w:spacing w:after="0"/>
              <w:jc w:val="center"/>
            </w:pPr>
            <w:r>
              <w:rPr>
                <w:sz w:val="19"/>
              </w:rPr>
              <w:t>7.69</w:t>
            </w:r>
          </w:p>
        </w:tc>
      </w:tr>
      <w:tr>
        <w:tc>
          <w:tcPr>
            <w:tcW w:type="dxa" w:w="2350"/>
            <w:tcMar>
              <w:top w:w="80" w:type="dxa"/>
              <w:start w:w="100" w:type="dxa"/>
              <w:bottom w:w="80" w:type="dxa"/>
              <w:end w:w="100" w:type="dxa"/>
            </w:tcMar>
            <w:vAlign w:val="center"/>
          </w:tcPr>
          <w:p>
            <w:pPr>
              <w:keepLines/>
              <w:spacing w:after="0"/>
              <w:jc w:val="left"/>
            </w:pPr>
            <w:r>
              <w:rPr>
                <w:sz w:val="19"/>
              </w:rPr>
              <w:t>TCN</w:t>
            </w:r>
          </w:p>
        </w:tc>
        <w:tc>
          <w:tcPr>
            <w:tcW w:type="dxa" w:w="800"/>
            <w:tcMar>
              <w:top w:w="80" w:type="dxa"/>
              <w:start w:w="100" w:type="dxa"/>
              <w:bottom w:w="80" w:type="dxa"/>
              <w:end w:w="100" w:type="dxa"/>
            </w:tcMar>
            <w:vAlign w:val="center"/>
          </w:tcPr>
          <w:p>
            <w:pPr>
              <w:keepLines/>
              <w:spacing w:after="0"/>
              <w:jc w:val="left"/>
            </w:pPr>
            <w:r>
              <w:rPr>
                <w:sz w:val="19"/>
              </w:rPr>
              <w:t>42 h</w:t>
            </w:r>
          </w:p>
        </w:tc>
        <w:tc>
          <w:tcPr>
            <w:tcW w:type="dxa" w:w="1300"/>
            <w:tcMar>
              <w:top w:w="80" w:type="dxa"/>
              <w:start w:w="100" w:type="dxa"/>
              <w:bottom w:w="80" w:type="dxa"/>
              <w:end w:w="100" w:type="dxa"/>
            </w:tcMar>
            <w:vAlign w:val="center"/>
          </w:tcPr>
          <w:p>
            <w:pPr>
              <w:keepLines/>
              <w:spacing w:after="0"/>
              <w:jc w:val="center"/>
            </w:pPr>
            <w:r>
              <w:rPr>
                <w:sz w:val="19"/>
              </w:rPr>
              <w:t>0.2480</w:t>
            </w:r>
          </w:p>
        </w:tc>
        <w:tc>
          <w:tcPr>
            <w:tcW w:type="dxa" w:w="1450"/>
            <w:tcMar>
              <w:top w:w="80" w:type="dxa"/>
              <w:start w:w="100" w:type="dxa"/>
              <w:bottom w:w="80" w:type="dxa"/>
              <w:end w:w="100" w:type="dxa"/>
            </w:tcMar>
            <w:vAlign w:val="center"/>
          </w:tcPr>
          <w:p>
            <w:pPr>
              <w:keepLines/>
              <w:spacing w:after="0"/>
              <w:jc w:val="center"/>
            </w:pPr>
            <w:r>
              <w:rPr>
                <w:sz w:val="19"/>
              </w:rPr>
              <w:t>12.05</w:t>
            </w:r>
          </w:p>
        </w:tc>
        <w:tc>
          <w:tcPr>
            <w:tcW w:type="dxa" w:w="1850"/>
            <w:tcMar>
              <w:top w:w="80" w:type="dxa"/>
              <w:start w:w="100" w:type="dxa"/>
              <w:bottom w:w="80" w:type="dxa"/>
              <w:end w:w="100" w:type="dxa"/>
            </w:tcMar>
            <w:vAlign w:val="center"/>
          </w:tcPr>
          <w:p>
            <w:pPr>
              <w:keepLines/>
              <w:spacing w:after="0"/>
              <w:jc w:val="center"/>
            </w:pPr>
            <w:r>
              <w:rPr>
                <w:sz w:val="19"/>
              </w:rPr>
              <w:t>0.4961</w:t>
            </w:r>
          </w:p>
        </w:tc>
        <w:tc>
          <w:tcPr>
            <w:tcW w:type="dxa" w:w="1800"/>
            <w:tcMar>
              <w:top w:w="80" w:type="dxa"/>
              <w:start w:w="100" w:type="dxa"/>
              <w:bottom w:w="80" w:type="dxa"/>
              <w:end w:w="100" w:type="dxa"/>
            </w:tcMar>
            <w:vAlign w:val="center"/>
          </w:tcPr>
          <w:p>
            <w:pPr>
              <w:keepLines/>
              <w:spacing w:after="0"/>
              <w:jc w:val="center"/>
            </w:pPr>
            <w:r>
              <w:rPr>
                <w:sz w:val="19"/>
              </w:rPr>
              <w:t>15.17</w:t>
            </w:r>
          </w:p>
        </w:tc>
      </w:tr>
      <w:tr>
        <w:tc>
          <w:tcPr>
            <w:tcW w:type="dxa" w:w="2350"/>
            <w:tcMar>
              <w:top w:w="80" w:type="dxa"/>
              <w:start w:w="100" w:type="dxa"/>
              <w:bottom w:w="80" w:type="dxa"/>
              <w:end w:w="100" w:type="dxa"/>
            </w:tcMar>
            <w:vAlign w:val="center"/>
          </w:tcPr>
          <w:p>
            <w:pPr>
              <w:keepLines/>
              <w:spacing w:after="0"/>
              <w:jc w:val="left"/>
            </w:pPr>
            <w:r>
              <w:rPr>
                <w:sz w:val="19"/>
              </w:rPr>
              <w:t>LSTM-TCN ensemble</w:t>
            </w:r>
          </w:p>
        </w:tc>
        <w:tc>
          <w:tcPr>
            <w:tcW w:type="dxa" w:w="800"/>
            <w:tcMar>
              <w:top w:w="80" w:type="dxa"/>
              <w:start w:w="100" w:type="dxa"/>
              <w:bottom w:w="80" w:type="dxa"/>
              <w:end w:w="100" w:type="dxa"/>
            </w:tcMar>
            <w:vAlign w:val="center"/>
          </w:tcPr>
          <w:p>
            <w:pPr>
              <w:keepLines/>
              <w:spacing w:after="0"/>
              <w:jc w:val="left"/>
            </w:pPr>
            <w:r>
              <w:rPr>
                <w:sz w:val="19"/>
              </w:rPr>
              <w:t>72 h</w:t>
            </w:r>
          </w:p>
        </w:tc>
        <w:tc>
          <w:tcPr>
            <w:tcW w:type="dxa" w:w="1300"/>
            <w:tcMar>
              <w:top w:w="80" w:type="dxa"/>
              <w:start w:w="100" w:type="dxa"/>
              <w:bottom w:w="80" w:type="dxa"/>
              <w:end w:w="100" w:type="dxa"/>
            </w:tcMar>
            <w:vAlign w:val="center"/>
          </w:tcPr>
          <w:p>
            <w:pPr>
              <w:keepLines/>
              <w:spacing w:after="0"/>
              <w:jc w:val="center"/>
            </w:pPr>
            <w:r>
              <w:rPr>
                <w:sz w:val="19"/>
              </w:rPr>
              <w:t>0.2613</w:t>
            </w:r>
          </w:p>
        </w:tc>
        <w:tc>
          <w:tcPr>
            <w:tcW w:type="dxa" w:w="1450"/>
            <w:tcMar>
              <w:top w:w="80" w:type="dxa"/>
              <w:start w:w="100" w:type="dxa"/>
              <w:bottom w:w="80" w:type="dxa"/>
              <w:end w:w="100" w:type="dxa"/>
            </w:tcMar>
            <w:vAlign w:val="center"/>
          </w:tcPr>
          <w:p>
            <w:pPr>
              <w:keepLines/>
              <w:spacing w:after="0"/>
              <w:jc w:val="center"/>
            </w:pPr>
            <w:r>
              <w:rPr>
                <w:sz w:val="19"/>
              </w:rPr>
              <w:t>7.33</w:t>
            </w:r>
          </w:p>
        </w:tc>
        <w:tc>
          <w:tcPr>
            <w:tcW w:type="dxa" w:w="1850"/>
            <w:tcMar>
              <w:top w:w="80" w:type="dxa"/>
              <w:start w:w="100" w:type="dxa"/>
              <w:bottom w:w="80" w:type="dxa"/>
              <w:end w:w="100" w:type="dxa"/>
            </w:tcMar>
            <w:vAlign w:val="center"/>
          </w:tcPr>
          <w:p>
            <w:pPr>
              <w:keepLines/>
              <w:spacing w:after="0"/>
              <w:jc w:val="center"/>
            </w:pPr>
            <w:r>
              <w:rPr>
                <w:sz w:val="19"/>
              </w:rPr>
              <w:t>0.5371</w:t>
            </w:r>
          </w:p>
        </w:tc>
        <w:tc>
          <w:tcPr>
            <w:tcW w:type="dxa" w:w="1800"/>
            <w:tcMar>
              <w:top w:w="80" w:type="dxa"/>
              <w:start w:w="100" w:type="dxa"/>
              <w:bottom w:w="80" w:type="dxa"/>
              <w:end w:w="100" w:type="dxa"/>
            </w:tcMar>
            <w:vAlign w:val="center"/>
          </w:tcPr>
          <w:p>
            <w:pPr>
              <w:keepLines/>
              <w:spacing w:after="0"/>
              <w:jc w:val="center"/>
            </w:pPr>
            <w:r>
              <w:rPr>
                <w:sz w:val="19"/>
              </w:rPr>
              <w:t>8.18</w:t>
            </w:r>
          </w:p>
        </w:tc>
      </w:tr>
      <w:tr>
        <w:tc>
          <w:tcPr>
            <w:tcW w:type="dxa" w:w="2350"/>
            <w:tcMar>
              <w:top w:w="80" w:type="dxa"/>
              <w:start w:w="100" w:type="dxa"/>
              <w:bottom w:w="80" w:type="dxa"/>
              <w:end w:w="100" w:type="dxa"/>
            </w:tcMar>
            <w:vAlign w:val="center"/>
          </w:tcPr>
          <w:p>
            <w:pPr>
              <w:keepLines/>
              <w:spacing w:after="0"/>
              <w:jc w:val="left"/>
            </w:pPr>
            <w:r>
              <w:rPr>
                <w:sz w:val="19"/>
              </w:rPr>
              <w:t>LSTM-TCN ensemble</w:t>
            </w:r>
          </w:p>
        </w:tc>
        <w:tc>
          <w:tcPr>
            <w:tcW w:type="dxa" w:w="800"/>
            <w:tcMar>
              <w:top w:w="80" w:type="dxa"/>
              <w:start w:w="100" w:type="dxa"/>
              <w:bottom w:w="80" w:type="dxa"/>
              <w:end w:w="100" w:type="dxa"/>
            </w:tcMar>
            <w:vAlign w:val="center"/>
          </w:tcPr>
          <w:p>
            <w:pPr>
              <w:keepLines/>
              <w:spacing w:after="0"/>
              <w:jc w:val="left"/>
            </w:pPr>
            <w:r>
              <w:rPr>
                <w:sz w:val="19"/>
              </w:rPr>
              <w:t>42 h</w:t>
            </w:r>
          </w:p>
        </w:tc>
        <w:tc>
          <w:tcPr>
            <w:tcW w:type="dxa" w:w="1300"/>
            <w:tcMar>
              <w:top w:w="80" w:type="dxa"/>
              <w:start w:w="100" w:type="dxa"/>
              <w:bottom w:w="80" w:type="dxa"/>
              <w:end w:w="100" w:type="dxa"/>
            </w:tcMar>
            <w:vAlign w:val="center"/>
          </w:tcPr>
          <w:p>
            <w:pPr>
              <w:keepLines/>
              <w:spacing w:after="0"/>
              <w:jc w:val="center"/>
            </w:pPr>
            <w:r>
              <w:rPr>
                <w:sz w:val="19"/>
              </w:rPr>
              <w:t>0.2536</w:t>
            </w:r>
          </w:p>
        </w:tc>
        <w:tc>
          <w:tcPr>
            <w:tcW w:type="dxa" w:w="1450"/>
            <w:tcMar>
              <w:top w:w="80" w:type="dxa"/>
              <w:start w:w="100" w:type="dxa"/>
              <w:bottom w:w="80" w:type="dxa"/>
              <w:end w:w="100" w:type="dxa"/>
            </w:tcMar>
            <w:vAlign w:val="center"/>
          </w:tcPr>
          <w:p>
            <w:pPr>
              <w:keepLines/>
              <w:spacing w:after="0"/>
              <w:jc w:val="center"/>
            </w:pPr>
            <w:r>
              <w:rPr>
                <w:sz w:val="19"/>
              </w:rPr>
              <w:t>10.04</w:t>
            </w:r>
          </w:p>
        </w:tc>
        <w:tc>
          <w:tcPr>
            <w:tcW w:type="dxa" w:w="1850"/>
            <w:tcMar>
              <w:top w:w="80" w:type="dxa"/>
              <w:start w:w="100" w:type="dxa"/>
              <w:bottom w:w="80" w:type="dxa"/>
              <w:end w:w="100" w:type="dxa"/>
            </w:tcMar>
            <w:vAlign w:val="center"/>
          </w:tcPr>
          <w:p>
            <w:pPr>
              <w:keepLines/>
              <w:spacing w:after="0"/>
              <w:jc w:val="center"/>
            </w:pPr>
            <w:r>
              <w:rPr>
                <w:sz w:val="19"/>
              </w:rPr>
              <w:t>0.5046</w:t>
            </w:r>
          </w:p>
        </w:tc>
        <w:tc>
          <w:tcPr>
            <w:tcW w:type="dxa" w:w="1800"/>
            <w:tcMar>
              <w:top w:w="80" w:type="dxa"/>
              <w:start w:w="100" w:type="dxa"/>
              <w:bottom w:w="80" w:type="dxa"/>
              <w:end w:w="100" w:type="dxa"/>
            </w:tcMar>
            <w:vAlign w:val="center"/>
          </w:tcPr>
          <w:p>
            <w:pPr>
              <w:keepLines/>
              <w:spacing w:after="0"/>
              <w:jc w:val="center"/>
            </w:pPr>
            <w:r>
              <w:rPr>
                <w:sz w:val="19"/>
              </w:rPr>
              <w:t>13.72</w:t>
            </w:r>
          </w:p>
        </w:tc>
      </w:tr>
      <w:tr>
        <w:tc>
          <w:tcPr>
            <w:tcW w:type="dxa" w:w="2350"/>
            <w:tcMar>
              <w:top w:w="80" w:type="dxa"/>
              <w:start w:w="100" w:type="dxa"/>
              <w:bottom w:w="80" w:type="dxa"/>
              <w:end w:w="100" w:type="dxa"/>
            </w:tcMar>
            <w:vAlign w:val="center"/>
          </w:tcPr>
          <w:p>
            <w:pPr>
              <w:keepLines/>
              <w:spacing w:after="0"/>
              <w:jc w:val="left"/>
            </w:pPr>
            <w:r>
              <w:rPr>
                <w:sz w:val="19"/>
              </w:rPr>
              <w:t>Chronos-2, calibrated</w:t>
            </w:r>
          </w:p>
        </w:tc>
        <w:tc>
          <w:tcPr>
            <w:tcW w:type="dxa" w:w="800"/>
            <w:tcMar>
              <w:top w:w="80" w:type="dxa"/>
              <w:start w:w="100" w:type="dxa"/>
              <w:bottom w:w="80" w:type="dxa"/>
              <w:end w:w="100" w:type="dxa"/>
            </w:tcMar>
            <w:vAlign w:val="center"/>
          </w:tcPr>
          <w:p>
            <w:pPr>
              <w:keepLines/>
              <w:spacing w:after="0"/>
              <w:jc w:val="left"/>
            </w:pPr>
            <w:r>
              <w:rPr>
                <w:sz w:val="19"/>
              </w:rPr>
              <w:t>72 h</w:t>
            </w:r>
          </w:p>
        </w:tc>
        <w:tc>
          <w:tcPr>
            <w:tcW w:type="dxa" w:w="1300"/>
            <w:tcMar>
              <w:top w:w="80" w:type="dxa"/>
              <w:start w:w="100" w:type="dxa"/>
              <w:bottom w:w="80" w:type="dxa"/>
              <w:end w:w="100" w:type="dxa"/>
            </w:tcMar>
            <w:vAlign w:val="center"/>
          </w:tcPr>
          <w:p>
            <w:pPr>
              <w:keepLines/>
              <w:spacing w:after="0"/>
              <w:jc w:val="center"/>
            </w:pPr>
            <w:r>
              <w:rPr>
                <w:sz w:val="19"/>
              </w:rPr>
              <w:t>0.2556</w:t>
            </w:r>
          </w:p>
        </w:tc>
        <w:tc>
          <w:tcPr>
            <w:tcW w:type="dxa" w:w="1450"/>
            <w:tcMar>
              <w:top w:w="80" w:type="dxa"/>
              <w:start w:w="100" w:type="dxa"/>
              <w:bottom w:w="80" w:type="dxa"/>
              <w:end w:w="100" w:type="dxa"/>
            </w:tcMar>
            <w:vAlign w:val="center"/>
          </w:tcPr>
          <w:p>
            <w:pPr>
              <w:keepLines/>
              <w:spacing w:after="0"/>
              <w:jc w:val="center"/>
            </w:pPr>
            <w:r>
              <w:rPr>
                <w:sz w:val="19"/>
              </w:rPr>
              <w:t>9.34</w:t>
            </w:r>
          </w:p>
        </w:tc>
        <w:tc>
          <w:tcPr>
            <w:tcW w:type="dxa" w:w="1850"/>
            <w:tcMar>
              <w:top w:w="80" w:type="dxa"/>
              <w:start w:w="100" w:type="dxa"/>
              <w:bottom w:w="80" w:type="dxa"/>
              <w:end w:w="100" w:type="dxa"/>
            </w:tcMar>
            <w:vAlign w:val="center"/>
          </w:tcPr>
          <w:p>
            <w:pPr>
              <w:keepLines/>
              <w:spacing w:after="0"/>
              <w:jc w:val="center"/>
            </w:pPr>
            <w:r>
              <w:rPr>
                <w:sz w:val="19"/>
              </w:rPr>
              <w:t>0.5167</w:t>
            </w:r>
          </w:p>
        </w:tc>
        <w:tc>
          <w:tcPr>
            <w:tcW w:type="dxa" w:w="1800"/>
            <w:tcMar>
              <w:top w:w="80" w:type="dxa"/>
              <w:start w:w="100" w:type="dxa"/>
              <w:bottom w:w="80" w:type="dxa"/>
              <w:end w:w="100" w:type="dxa"/>
            </w:tcMar>
            <w:vAlign w:val="center"/>
          </w:tcPr>
          <w:p>
            <w:pPr>
              <w:keepLines/>
              <w:spacing w:after="0"/>
              <w:jc w:val="center"/>
            </w:pPr>
            <w:r>
              <w:rPr>
                <w:sz w:val="19"/>
              </w:rPr>
              <w:t>11.66</w:t>
            </w:r>
          </w:p>
        </w:tc>
      </w:tr>
      <w:tr>
        <w:tc>
          <w:tcPr>
            <w:tcW w:type="dxa" w:w="2350"/>
            <w:tcMar>
              <w:top w:w="80" w:type="dxa"/>
              <w:start w:w="100" w:type="dxa"/>
              <w:bottom w:w="80" w:type="dxa"/>
              <w:end w:w="100" w:type="dxa"/>
            </w:tcMar>
            <w:vAlign w:val="center"/>
          </w:tcPr>
          <w:p>
            <w:pPr>
              <w:keepLines/>
              <w:spacing w:after="0"/>
              <w:jc w:val="left"/>
            </w:pPr>
            <w:r>
              <w:rPr>
                <w:sz w:val="19"/>
              </w:rPr>
              <w:t>Chronos-2, calibrated</w:t>
            </w:r>
          </w:p>
        </w:tc>
        <w:tc>
          <w:tcPr>
            <w:tcW w:type="dxa" w:w="800"/>
            <w:tcMar>
              <w:top w:w="80" w:type="dxa"/>
              <w:start w:w="100" w:type="dxa"/>
              <w:bottom w:w="80" w:type="dxa"/>
              <w:end w:w="100" w:type="dxa"/>
            </w:tcMar>
            <w:vAlign w:val="center"/>
          </w:tcPr>
          <w:p>
            <w:pPr>
              <w:keepLines/>
              <w:spacing w:after="0"/>
              <w:jc w:val="left"/>
            </w:pPr>
            <w:r>
              <w:rPr>
                <w:sz w:val="19"/>
              </w:rPr>
              <w:t>42 h</w:t>
            </w:r>
          </w:p>
        </w:tc>
        <w:tc>
          <w:tcPr>
            <w:tcW w:type="dxa" w:w="1300"/>
            <w:tcMar>
              <w:top w:w="80" w:type="dxa"/>
              <w:start w:w="100" w:type="dxa"/>
              <w:bottom w:w="80" w:type="dxa"/>
              <w:end w:w="100" w:type="dxa"/>
            </w:tcMar>
            <w:vAlign w:val="center"/>
          </w:tcPr>
          <w:p>
            <w:pPr>
              <w:keepLines/>
              <w:spacing w:after="0"/>
              <w:jc w:val="center"/>
            </w:pPr>
            <w:r>
              <w:rPr>
                <w:sz w:val="19"/>
              </w:rPr>
              <w:t>0.2453</w:t>
            </w:r>
          </w:p>
        </w:tc>
        <w:tc>
          <w:tcPr>
            <w:tcW w:type="dxa" w:w="1450"/>
            <w:tcMar>
              <w:top w:w="80" w:type="dxa"/>
              <w:start w:w="100" w:type="dxa"/>
              <w:bottom w:w="80" w:type="dxa"/>
              <w:end w:w="100" w:type="dxa"/>
            </w:tcMar>
            <w:vAlign w:val="center"/>
          </w:tcPr>
          <w:p>
            <w:pPr>
              <w:keepLines/>
              <w:spacing w:after="0"/>
              <w:jc w:val="center"/>
            </w:pPr>
            <w:r>
              <w:rPr>
                <w:sz w:val="19"/>
              </w:rPr>
              <w:t>12.99</w:t>
            </w:r>
          </w:p>
        </w:tc>
        <w:tc>
          <w:tcPr>
            <w:tcW w:type="dxa" w:w="1850"/>
            <w:tcMar>
              <w:top w:w="80" w:type="dxa"/>
              <w:start w:w="100" w:type="dxa"/>
              <w:bottom w:w="80" w:type="dxa"/>
              <w:end w:w="100" w:type="dxa"/>
            </w:tcMar>
            <w:vAlign w:val="center"/>
          </w:tcPr>
          <w:p>
            <w:pPr>
              <w:keepLines/>
              <w:spacing w:after="0"/>
              <w:jc w:val="center"/>
            </w:pPr>
            <w:r>
              <w:rPr>
                <w:sz w:val="19"/>
              </w:rPr>
              <w:t>0.5011</w:t>
            </w:r>
          </w:p>
        </w:tc>
        <w:tc>
          <w:tcPr>
            <w:tcW w:type="dxa" w:w="1800"/>
            <w:tcMar>
              <w:top w:w="80" w:type="dxa"/>
              <w:start w:w="100" w:type="dxa"/>
              <w:bottom w:w="80" w:type="dxa"/>
              <w:end w:w="100" w:type="dxa"/>
            </w:tcMar>
            <w:vAlign w:val="center"/>
          </w:tcPr>
          <w:p>
            <w:pPr>
              <w:keepLines/>
              <w:spacing w:after="0"/>
              <w:jc w:val="center"/>
            </w:pPr>
            <w:r>
              <w:rPr>
                <w:sz w:val="19"/>
              </w:rPr>
              <w:t>14.32</w:t>
            </w:r>
          </w:p>
        </w:tc>
      </w:tr>
    </w:tbl>
    <w:p>
      <w:pPr>
        <w:spacing w:after="40"/>
      </w:pPr>
    </w:p>
    <w:p>
      <w:pPr>
        <w:widowControl/>
        <w:jc w:val="both"/>
      </w:pPr>
      <w:r>
        <w:rPr>
          <w:strike w:val="0"/>
        </w:rPr>
        <w:t>Positive skill during large changes should not be confused with complete event reconstruction. R2 for the largest-change subset remained negative for every reported neural configuration (from -0.3092 for the manual 42-hour TCN to -0.5502 for the unrestricted TCN). The models reduced squared error relative to holding the latest value, yet still explained less event-to-event variance than would be needed for reliable plume-peak characterization. This result is consistent with smoothing of abrupt transitions and incomplete representation of external forcing.</w:t>
      </w:r>
    </w:p>
    <w:p>
      <w:pPr>
        <w:pStyle w:val="Heading2"/>
        <w:keepNext/>
        <w:keepLines/>
        <w:pageBreakBefore w:val="0"/>
      </w:pPr>
      <w:r>
        <w:rPr>
          <w:strike w:val="0"/>
        </w:rPr>
        <w:t>6.3 Model-Specific Findings</w:t>
      </w:r>
    </w:p>
    <w:p>
      <w:pPr>
        <w:pStyle w:val="Heading3"/>
        <w:keepNext/>
        <w:keepLines/>
        <w:pageBreakBefore w:val="0"/>
      </w:pPr>
      <w:r>
        <w:rPr>
          <w:strike w:val="0"/>
        </w:rPr>
        <w:t>6.3.1 Long Short-Term Memory Network</w:t>
      </w:r>
    </w:p>
    <w:p>
      <w:pPr>
        <w:widowControl/>
        <w:jc w:val="both"/>
      </w:pPr>
      <w:r>
        <w:rPr>
          <w:strike w:val="0"/>
        </w:rPr>
        <w:t>The residual LSTM contained 33,872 parameters for the unrestricted input and 33,552 for the 42-hour input. Its performance was almost representation-invariant: truncation reduced overall RMSE by only 0.0007 mS/cm (0.33%) and increased skill by 0.32 percentage points. Endpoint RMSE was virtually unchanged (0.2627 versus 0.2626 mS/cm). The unrestricted model stopped after 20 epochs and restored epoch 13, whereas the 42-hour model continued for all 40 epochs. The LSTM therefore provides little evidence that a hard 42-hour restriction is necessary for recurrent learning; gating appears able to suppress much of the irrelevant portion of the longer history.</w:t>
      </w:r>
    </w:p>
    <w:p>
      <w:pPr>
        <w:pStyle w:val="Heading3"/>
        <w:keepNext/>
        <w:keepLines/>
        <w:pageBreakBefore w:val="0"/>
      </w:pPr>
      <w:r>
        <w:rPr>
          <w:strike w:val="0"/>
        </w:rPr>
        <w:t>6.3.2 Temporal Convolutional Network</w:t>
      </w:r>
    </w:p>
    <w:p>
      <w:pPr>
        <w:widowControl/>
        <w:jc w:val="both"/>
      </w:pPr>
      <w:r>
        <w:rPr>
          <w:strike w:val="0"/>
        </w:rPr>
        <w:t>The TCN contained 36,248 parameters for the unrestricted input and 36,040 for the manual input. Its dilated residual stack had a nominal receptive field of 505 quarter-hour steps, exceeding both input lengths and allowing full-window access. Unlike the LSTM, the TCN benefited strongly from the physical prior: the 42-hour representation lowered overall RMSE by 0.0117 mS/cm (5.53%), raised skill by 5.21 percentage points, and produced the best overall deterministic result. It also achieved the strongest rapid-change skill (15.17%). This sensitivity suggests that convolutional feature extraction was helped by removing temporally diffuse history and emphasizing the lag-informed channel structure.</w:t>
      </w:r>
    </w:p>
    <w:p>
      <w:pPr>
        <w:pStyle w:val="Heading3"/>
        <w:keepNext/>
        <w:keepLines/>
        <w:pageBreakBefore/>
      </w:pPr>
      <w:r>
        <w:rPr>
          <w:strike w:val="0"/>
        </w:rPr>
        <w:t>6.3.3 Chronos-2 Foundation Model</w:t>
      </w:r>
    </w:p>
    <w:p>
      <w:pPr>
        <w:widowControl/>
        <w:jc w:val="both"/>
      </w:pPr>
      <w:r>
        <w:rPr>
          <w:strike w:val="0"/>
        </w:rPr>
        <w:t>Chronos-2 was evaluated zero-shot using its median forecast and then blended with persistence using weights estimated exclusively from August residuals; its 119,477,664 pretrained parameters were not fine-tuned. Raw zero-shot RMSE was 0.2061 mS/cm for 72 hours and 0.2037 mS/cm for 42 hours. Calibration improved these values to 0.2054 and 0.2008 mS/cm, respectively. The gain from calibration was therefore modest but consistent for overall RMSE, and the manual representation remained superior. Notably, the raw manual forecast slightly outperformed its calibrated version for the largest changes (RMSE 0.4943 versus 0.5011 mS/cm), showing that a calibration optimized for aggregate validation error can attenuate event-scale corrections.</w:t>
      </w:r>
    </w:p>
    <w:p>
      <w:pPr>
        <w:pStyle w:val="Heading3"/>
        <w:keepNext/>
        <w:keepLines/>
        <w:pageBreakBefore w:val="0"/>
      </w:pPr>
      <w:r>
        <w:rPr>
          <w:strike w:val="0"/>
        </w:rPr>
        <w:t>6.3.4 LSTM-TCN Ensemble</w:t>
      </w:r>
    </w:p>
    <w:p>
      <w:pPr>
        <w:widowControl/>
        <w:jc w:val="both"/>
      </w:pPr>
      <w:r>
        <w:rPr>
          <w:strike w:val="0"/>
        </w:rPr>
        <w:t>The ensemble was the equal-weight mean of LSTM and TCN predictions and was specified before evaluating September. It improved upon either unrestricted component overall (RMSE 0.2106 mS/cm), confirming some error complementarity. Under the manual representation it achieved RMSE 0.2041 mS/cm and 9.03% skill, but it did not surpass the TCN because averaging diluted the TCN's stronger 42-hour signal. The ensemble remains attractive when ranking stability and low procedural complexity matter; however, these results do not support presenting it as the most accurate final model. The reported ensemble contains LSTM and TCN only and should not be interpreted as a three-model blend including Chronos-2.</w:t>
      </w:r>
    </w:p>
    <w:p>
      <w:pPr>
        <w:pStyle w:val="Heading2"/>
        <w:keepNext/>
        <w:keepLines/>
        <w:pageBreakBefore w:val="0"/>
      </w:pPr>
      <w:r>
        <w:rPr>
          <w:strike w:val="0"/>
        </w:rPr>
        <w:t>6.4 Interpretation of the 42-Hour Hypothesis</w:t>
      </w:r>
    </w:p>
    <w:p>
      <w:pPr>
        <w:widowControl/>
        <w:jc w:val="both"/>
      </w:pPr>
      <w:r>
        <w:rPr>
          <w:strike w:val="0"/>
        </w:rPr>
        <w:t>The manually defined 42-hour method improved every neural forecaster in overall RMSE, but the magnitude was architecture-dependent: 0.33% for LSTM, 5.53% for TCN, 3.09% for the LSTM-TCN ensemble, and 2.22% for calibrated Chronos-2. At the four-hour endpoint, the reductions were 0.04%, 5.49%, 2.95%, and 4.03%, respectively. The consistent direction of change supports the 42-hour lag as a useful inductive bias, especially for TCN and Chronos-2, but does not establish a unique plume travel time. The manual and unrestricted representations differ in sequence length and feature construction as well as lag emphasis, so the experiment cannot attribute the gain solely to the Terneuzen observation at exactly t - 42 hours.</w:t>
      </w:r>
    </w:p>
    <w:p>
      <w:pPr>
        <w:widowControl/>
        <w:jc w:val="both"/>
      </w:pPr>
      <w:r>
        <w:rPr>
          <w:strike w:val="0"/>
        </w:rPr>
        <w:t>A stronger causal test would keep dimensionality and sensor availability fixed while comparing multiple predeclared lags (for example 24, 36, 42, 48, and 60 hours), include a temporally shuffled-lag control, and select the lag using training and validation data only. Repetition across seasons and discharge regimes is also required because advection time may vary with canal operations and freshwater inflow. The present finding should therefore be framed as evidence that a compact, physically informed temporal representation improves generalization, not as confirmation of an invariant 42-hour transport constant.</w:t>
      </w:r>
    </w:p>
    <w:p>
      <w:pPr>
        <w:pStyle w:val="Heading2"/>
        <w:keepNext/>
        <w:keepLines/>
        <w:pageBreakBefore w:val="0"/>
      </w:pPr>
      <w:r>
        <w:rPr>
          <w:strike w:val="0"/>
        </w:rPr>
        <w:t>6.5 Probabilistic and Computational Considerations</w:t>
      </w:r>
    </w:p>
    <w:p>
      <w:pPr>
        <w:widowControl/>
        <w:jc w:val="both"/>
      </w:pPr>
      <w:r>
        <w:rPr>
          <w:strike w:val="0"/>
        </w:rPr>
        <w:t>Chronos-2 additionally supplied an 80% predictive interval. The unrestricted representation attained 75.52% empirical coverage overall and 79.90% coverage at four hours, with mean width 0.3027 mS/cm. The sharper manual representation reduced mean width to 0.2281 mS/cm but covered only 60.59% overall and 63.42% at four hours; its interval score also deteriorated from 0.6036 to 0.6419. Thus, the 42-hour representation improved point accuracy at the cost of substantial undercoverage. Operational deployment would require post-hoc interval calibration on blocked, representative periods rather than treating the native quantiles as calibrated uncertainty bounds.</w:t>
      </w:r>
    </w:p>
    <w:p>
      <w:pPr>
        <w:widowControl/>
        <w:jc w:val="both"/>
      </w:pPr>
      <w:r>
        <w:rPr>
          <w:strike w:val="0"/>
        </w:rPr>
        <w:t>Computationally, the compact input reduced Chronos-2 CPU inference time for the combined validation and test sets from 573.54 to 279.40 seconds, a 51.3% reduction. For the task-specific networks, the shorter TCN completed training in 200.4 seconds versus 249.9 seconds for the unrestricted model despite running more epochs; LSTM timing was dominated by its longer optimization path (308.2 versus 259.3 seconds). These measurements are hardware- and stopping-rule-specific, but they show that the compact representation can reduce sequence-processing cost without sacrificing accuracy.</w:t>
      </w:r>
    </w:p>
    <w:p>
      <w:pPr>
        <w:pStyle w:val="Heading2"/>
        <w:keepNext/>
        <w:keepLines/>
        <w:pageBreakBefore/>
      </w:pPr>
      <w:r>
        <w:rPr>
          <w:strike w:val="0"/>
        </w:rPr>
        <w:t>6.6 Limitations and Operational Implications</w:t>
      </w:r>
    </w:p>
    <w:p>
      <w:pPr>
        <w:widowControl/>
        <w:jc w:val="both"/>
      </w:pPr>
      <w:r>
        <w:rPr>
          <w:strike w:val="0"/>
        </w:rPr>
        <w:t>All principal configurations beat persistence on the held-out trajectories, and gains generally increased at the longest operationally relevant lead time. The manual 42-hour TCN and calibrated Chronos-2 are therefore the strongest candidates for further evaluation: the former provides the best deterministic score with a compact trainable architecture, while the latter offers competitive zero-shot performance and probabilistic output. Their separation is small enough that model choice should also consider calibration, compute, maintainability, and stability across future monitoring periods.</w:t>
      </w:r>
    </w:p>
    <w:p>
      <w:pPr>
        <w:widowControl/>
        <w:jc w:val="both"/>
      </w:pPr>
      <w:r>
        <w:rPr>
          <w:strike w:val="0"/>
        </w:rPr>
        <w:t>Several limitations constrain generalization. The test set covers one month, and adjacent 15-minute forecast origins share most history and targets; the 2,865 rows are therefore not independent replicates for significance testing. Neural results were obtained from one fixed training run per configuration, so seed-to-seed uncertainty was not quantified. The inputs also omit potentially important forcings, including tide, discharge, rainfall, temperature, vessel movement, and lock operation. Future work should use blocked event- or day-level uncertainty estimates, repeated seeds, additional years and seasons, out-of-distribution events, and external hydrodynamic covariates. Until those tests are available, the three networks and ensemble should be regarded as a competitive group, with the manual 42-hour method retained as a useful but not yet causal physical prior.</w:t>
      </w:r>
    </w:p>
    <w:sectPr w:rsidR="000B7D77">
      <w:footerReference w:type="default" r:id="rId12"/>
      <w:pgSz w:w="12240" w:h="15840"/>
      <w:pgMar w:top="1224" w:right="1296" w:bottom="1152" w:left="1296"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hab.Ayman" w:date="2026-08-18T14:38:00Z" w:initials="SA">
    <w:p w14:paraId="20D82389" w14:textId="77777777" w:rsidR="001D63A2" w:rsidRDefault="001D63A2" w:rsidP="001D63A2">
      <w:pPr>
        <w:pStyle w:val="CommentText"/>
      </w:pPr>
      <w:r>
        <w:rPr>
          <w:rStyle w:val="CommentReference"/>
        </w:rPr>
        <w:annotationRef/>
      </w:r>
      <w:r>
        <w:t>Probably should not include this in the final 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D823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3ACB96" w16cex:dateUtc="2026-08-1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D82389" w16cid:durableId="6D3AC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5B75D" w14:textId="77777777" w:rsidR="00B61575" w:rsidRDefault="00B61575" w:rsidP="007E7A91">
      <w:pPr>
        <w:spacing w:after="0"/>
      </w:pPr>
      <w:r>
        <w:separator/>
      </w:r>
    </w:p>
  </w:endnote>
  <w:endnote w:type="continuationSeparator" w:id="0">
    <w:p w14:paraId="70090B94" w14:textId="77777777" w:rsidR="00B61575" w:rsidRDefault="00B61575" w:rsidP="007E7A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F06B" w14:textId="77777777" w:rsidR="000B7D77" w:rsidRDefault="00000000">
    <w:pPr>
      <w:jc w:val="right"/>
    </w:pPr>
    <w:r>
      <w:rPr>
        <w:sz w:val="18"/>
      </w:rPr>
      <w:fldChar w:fldCharType="begin"/>
    </w:r>
    <w:r>
      <w:rPr>
        <w:sz w:val="18"/>
      </w:rPr>
      <w:instrText xml:space="preserve"> PAGE </w:instrText>
    </w:r>
    <w:r>
      <w:rPr>
        <w:sz w:val="18"/>
      </w:rPr>
      <w:fldChar w:fldCharType="separate"/>
    </w:r>
    <w:r w:rsidR="00C27B4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5B972" w14:textId="77777777" w:rsidR="00B61575" w:rsidRDefault="00B61575" w:rsidP="007E7A91">
      <w:pPr>
        <w:spacing w:after="0"/>
      </w:pPr>
      <w:r>
        <w:separator/>
      </w:r>
    </w:p>
  </w:footnote>
  <w:footnote w:type="continuationSeparator" w:id="0">
    <w:p w14:paraId="62CF2704" w14:textId="77777777" w:rsidR="00B61575" w:rsidRDefault="00B61575" w:rsidP="007E7A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B2F0C"/>
    <w:multiLevelType w:val="hybridMultilevel"/>
    <w:tmpl w:val="4BE06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9812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hab.Ayman">
    <w15:presenceInfo w15:providerId="AD" w15:userId="S::Shehab.Ayman@bue.edu.eg::c7dbf212-f33d-4382-9153-3ee4212465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31"/>
    <w:rsid w:val="0008787F"/>
    <w:rsid w:val="000B7D77"/>
    <w:rsid w:val="000F46CA"/>
    <w:rsid w:val="00145CBB"/>
    <w:rsid w:val="00166AD2"/>
    <w:rsid w:val="001D63A2"/>
    <w:rsid w:val="00223BB6"/>
    <w:rsid w:val="002913F8"/>
    <w:rsid w:val="003662E1"/>
    <w:rsid w:val="00396827"/>
    <w:rsid w:val="003A7D3C"/>
    <w:rsid w:val="003F1ACB"/>
    <w:rsid w:val="00410D46"/>
    <w:rsid w:val="00420528"/>
    <w:rsid w:val="00442F8B"/>
    <w:rsid w:val="00684CB5"/>
    <w:rsid w:val="0073346D"/>
    <w:rsid w:val="0076527C"/>
    <w:rsid w:val="007D1C1E"/>
    <w:rsid w:val="007E7A91"/>
    <w:rsid w:val="00870721"/>
    <w:rsid w:val="0094134C"/>
    <w:rsid w:val="009467D0"/>
    <w:rsid w:val="00A51863"/>
    <w:rsid w:val="00A76C97"/>
    <w:rsid w:val="00A94077"/>
    <w:rsid w:val="00AA6877"/>
    <w:rsid w:val="00B61575"/>
    <w:rsid w:val="00B64C9E"/>
    <w:rsid w:val="00BD2023"/>
    <w:rsid w:val="00C27B43"/>
    <w:rsid w:val="00C52ED9"/>
    <w:rsid w:val="00C71599"/>
    <w:rsid w:val="00D073EF"/>
    <w:rsid w:val="00D20C8A"/>
    <w:rsid w:val="00DD05F4"/>
    <w:rsid w:val="00E14D88"/>
    <w:rsid w:val="00E91723"/>
    <w:rsid w:val="00EB113F"/>
    <w:rsid w:val="00F65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1CDC"/>
  <w15:chartTrackingRefBased/>
  <w15:docId w15:val="{8A157D91-2B92-4285-8B14-3F506179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13F"/>
    <w:pPr>
      <w:spacing w:after="40" w:line="240" w:lineRule="auto"/>
    </w:pPr>
    <w:rPr>
      <w:rFonts w:ascii="Times New Roman" w:hAnsi="Times New Roman"/>
      <w:sz w:val="22"/>
    </w:rPr>
  </w:style>
  <w:style w:type="paragraph" w:styleId="Heading1">
    <w:name w:val="heading 1"/>
    <w:basedOn w:val="Normal"/>
    <w:next w:val="Normal"/>
    <w:link w:val="Heading1Char"/>
    <w:uiPriority w:val="9"/>
    <w:qFormat/>
    <w:rsid w:val="00AA6877"/>
    <w:pPr>
      <w:keepNext/>
      <w:keepLines/>
      <w:spacing w:after="160"/>
      <w:outlineLvl w:val="0"/>
    </w:pPr>
    <w:rPr>
      <w:rFonts w:asciiTheme="majorBidi" w:eastAsiaTheme="majorEastAsia" w:hAnsiTheme="majorBidi" w:cstheme="majorBidi"/>
      <w:b/>
      <w:color w:val="000000"/>
      <w:sz w:val="36"/>
      <w:szCs w:val="40"/>
    </w:rPr>
  </w:style>
  <w:style w:type="paragraph" w:styleId="Heading2">
    <w:name w:val="heading 2"/>
    <w:basedOn w:val="Normal"/>
    <w:next w:val="Normal"/>
    <w:link w:val="Heading2Char"/>
    <w:uiPriority w:val="9"/>
    <w:unhideWhenUsed/>
    <w:qFormat/>
    <w:rsid w:val="002913F8"/>
    <w:pPr>
      <w:keepNext/>
      <w:keepLines/>
      <w:spacing w:before="200" w:after="100"/>
      <w:outlineLvl w:val="1"/>
    </w:pPr>
    <w:rPr>
      <w:rFonts w:asciiTheme="majorBidi" w:eastAsiaTheme="majorEastAsia" w:hAnsiTheme="majorBidi" w:cstheme="majorBidi"/>
      <w:b/>
      <w:color w:val="000000"/>
      <w:sz w:val="27"/>
      <w:szCs w:val="32"/>
    </w:rPr>
  </w:style>
  <w:style w:type="paragraph" w:styleId="Heading3">
    <w:name w:val="heading 3"/>
    <w:basedOn w:val="Normal"/>
    <w:next w:val="Normal"/>
    <w:link w:val="Heading3Char"/>
    <w:uiPriority w:val="9"/>
    <w:semiHidden/>
    <w:unhideWhenUsed/>
    <w:qFormat/>
    <w:rsid w:val="00F65C31"/>
    <w:pPr>
      <w:keepNext/>
      <w:keepLines/>
      <w:spacing w:before="160" w:after="60"/>
      <w:outlineLvl w:val="2"/>
    </w:pPr>
    <w:rPr>
      <w:rFonts w:eastAsiaTheme="majorEastAsia" w:cstheme="majorBidi"/>
      <w:b/>
      <w:color w:val="000000"/>
      <w:szCs w:val="28"/>
    </w:rPr>
  </w:style>
  <w:style w:type="paragraph" w:styleId="Heading4">
    <w:name w:val="heading 4"/>
    <w:basedOn w:val="Normal"/>
    <w:next w:val="Normal"/>
    <w:link w:val="Heading4Char"/>
    <w:uiPriority w:val="9"/>
    <w:semiHidden/>
    <w:unhideWhenUsed/>
    <w:qFormat/>
    <w:rsid w:val="00F65C31"/>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31"/>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877"/>
    <w:rPr>
      <w:rFonts w:asciiTheme="majorBidi" w:eastAsiaTheme="majorEastAsia" w:hAnsiTheme="majorBidi" w:cstheme="majorBidi"/>
      <w:color w:val="000000" w:themeColor="text1"/>
      <w:sz w:val="40"/>
      <w:szCs w:val="40"/>
    </w:rPr>
  </w:style>
  <w:style w:type="character" w:customStyle="1" w:styleId="Heading2Char">
    <w:name w:val="Heading 2 Char"/>
    <w:basedOn w:val="DefaultParagraphFont"/>
    <w:link w:val="Heading2"/>
    <w:uiPriority w:val="9"/>
    <w:rsid w:val="002913F8"/>
    <w:rPr>
      <w:rFonts w:asciiTheme="majorBidi" w:eastAsiaTheme="majorEastAsia" w:hAnsiTheme="majorBidi" w:cstheme="majorBidi"/>
      <w:color w:val="000000" w:themeColor="text1"/>
      <w:sz w:val="32"/>
      <w:szCs w:val="32"/>
    </w:rPr>
  </w:style>
  <w:style w:type="character" w:customStyle="1" w:styleId="Heading3Char">
    <w:name w:val="Heading 3 Char"/>
    <w:basedOn w:val="DefaultParagraphFont"/>
    <w:link w:val="Heading3"/>
    <w:uiPriority w:val="9"/>
    <w:semiHidden/>
    <w:rsid w:val="00F65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31"/>
    <w:rPr>
      <w:rFonts w:eastAsiaTheme="majorEastAsia" w:cstheme="majorBidi"/>
      <w:color w:val="272727" w:themeColor="text1" w:themeTint="D8"/>
    </w:rPr>
  </w:style>
  <w:style w:type="paragraph" w:styleId="Title">
    <w:name w:val="Title"/>
    <w:basedOn w:val="Normal"/>
    <w:next w:val="Normal"/>
    <w:link w:val="TitleChar"/>
    <w:uiPriority w:val="10"/>
    <w:qFormat/>
    <w:rsid w:val="00F65C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31"/>
    <w:pPr>
      <w:spacing w:before="160"/>
      <w:jc w:val="center"/>
    </w:pPr>
    <w:rPr>
      <w:i/>
      <w:iCs/>
      <w:color w:val="404040" w:themeColor="text1" w:themeTint="BF"/>
    </w:rPr>
  </w:style>
  <w:style w:type="character" w:customStyle="1" w:styleId="QuoteChar">
    <w:name w:val="Quote Char"/>
    <w:basedOn w:val="DefaultParagraphFont"/>
    <w:link w:val="Quote"/>
    <w:uiPriority w:val="29"/>
    <w:rsid w:val="00F65C31"/>
    <w:rPr>
      <w:i/>
      <w:iCs/>
      <w:color w:val="404040" w:themeColor="text1" w:themeTint="BF"/>
    </w:rPr>
  </w:style>
  <w:style w:type="paragraph" w:styleId="ListParagraph">
    <w:name w:val="List Paragraph"/>
    <w:basedOn w:val="Normal"/>
    <w:uiPriority w:val="34"/>
    <w:qFormat/>
    <w:rsid w:val="00F65C31"/>
    <w:pPr>
      <w:ind w:left="720"/>
      <w:contextualSpacing/>
    </w:pPr>
  </w:style>
  <w:style w:type="character" w:styleId="IntenseEmphasis">
    <w:name w:val="Intense Emphasis"/>
    <w:basedOn w:val="DefaultParagraphFont"/>
    <w:uiPriority w:val="21"/>
    <w:qFormat/>
    <w:rsid w:val="00F65C31"/>
    <w:rPr>
      <w:i/>
      <w:iCs/>
      <w:color w:val="0F4761" w:themeColor="accent1" w:themeShade="BF"/>
    </w:rPr>
  </w:style>
  <w:style w:type="paragraph" w:styleId="IntenseQuote">
    <w:name w:val="Intense Quote"/>
    <w:basedOn w:val="Normal"/>
    <w:next w:val="Normal"/>
    <w:link w:val="IntenseQuoteChar"/>
    <w:uiPriority w:val="30"/>
    <w:qFormat/>
    <w:rsid w:val="00F65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31"/>
    <w:rPr>
      <w:i/>
      <w:iCs/>
      <w:color w:val="0F4761" w:themeColor="accent1" w:themeShade="BF"/>
    </w:rPr>
  </w:style>
  <w:style w:type="character" w:styleId="IntenseReference">
    <w:name w:val="Intense Reference"/>
    <w:basedOn w:val="DefaultParagraphFont"/>
    <w:uiPriority w:val="32"/>
    <w:qFormat/>
    <w:rsid w:val="00F65C31"/>
    <w:rPr>
      <w:b/>
      <w:bCs/>
      <w:smallCaps/>
      <w:color w:val="0F4761" w:themeColor="accent1" w:themeShade="BF"/>
      <w:spacing w:val="5"/>
    </w:rPr>
  </w:style>
  <w:style w:type="table" w:styleId="TableGrid">
    <w:name w:val="Table Grid"/>
    <w:basedOn w:val="TableNormal"/>
    <w:uiPriority w:val="39"/>
    <w:rsid w:val="00941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134C"/>
    <w:rPr>
      <w:color w:val="666666"/>
    </w:rPr>
  </w:style>
  <w:style w:type="paragraph" w:styleId="Header">
    <w:name w:val="header"/>
    <w:basedOn w:val="Normal"/>
    <w:link w:val="HeaderChar"/>
    <w:uiPriority w:val="99"/>
    <w:unhideWhenUsed/>
    <w:rsid w:val="007E7A91"/>
    <w:pPr>
      <w:tabs>
        <w:tab w:val="center" w:pos="4680"/>
        <w:tab w:val="right" w:pos="9360"/>
      </w:tabs>
      <w:spacing w:after="0"/>
    </w:pPr>
  </w:style>
  <w:style w:type="character" w:customStyle="1" w:styleId="HeaderChar">
    <w:name w:val="Header Char"/>
    <w:basedOn w:val="DefaultParagraphFont"/>
    <w:link w:val="Header"/>
    <w:uiPriority w:val="99"/>
    <w:rsid w:val="007E7A91"/>
  </w:style>
  <w:style w:type="paragraph" w:styleId="Footer">
    <w:name w:val="footer"/>
    <w:basedOn w:val="Normal"/>
    <w:link w:val="FooterChar"/>
    <w:uiPriority w:val="99"/>
    <w:unhideWhenUsed/>
    <w:rsid w:val="007E7A91"/>
    <w:pPr>
      <w:tabs>
        <w:tab w:val="center" w:pos="4680"/>
        <w:tab w:val="right" w:pos="9360"/>
      </w:tabs>
      <w:spacing w:after="0"/>
    </w:pPr>
  </w:style>
  <w:style w:type="character" w:customStyle="1" w:styleId="FooterChar">
    <w:name w:val="Footer Char"/>
    <w:basedOn w:val="DefaultParagraphFont"/>
    <w:link w:val="Footer"/>
    <w:uiPriority w:val="99"/>
    <w:rsid w:val="007E7A91"/>
  </w:style>
  <w:style w:type="paragraph" w:customStyle="1" w:styleId="Caption1">
    <w:name w:val="Caption1"/>
    <w:pPr>
      <w:keepNext/>
      <w:spacing w:before="100" w:after="60"/>
    </w:pPr>
    <w:rPr>
      <w:rFonts w:ascii="Times New Roman" w:hAnsi="Times New Roman"/>
      <w:i/>
      <w:sz w:val="20"/>
    </w:rPr>
  </w:style>
  <w:style w:type="character" w:styleId="CommentReference">
    <w:name w:val="annotation reference"/>
    <w:basedOn w:val="DefaultParagraphFont"/>
    <w:uiPriority w:val="99"/>
    <w:semiHidden/>
    <w:unhideWhenUsed/>
    <w:rsid w:val="001D63A2"/>
    <w:rPr>
      <w:sz w:val="16"/>
      <w:szCs w:val="16"/>
    </w:rPr>
  </w:style>
  <w:style w:type="paragraph" w:styleId="CommentText">
    <w:name w:val="annotation text"/>
    <w:basedOn w:val="Normal"/>
    <w:link w:val="CommentTextChar"/>
    <w:uiPriority w:val="99"/>
    <w:unhideWhenUsed/>
    <w:rsid w:val="001D63A2"/>
    <w:rPr>
      <w:sz w:val="20"/>
      <w:szCs w:val="20"/>
    </w:rPr>
  </w:style>
  <w:style w:type="character" w:customStyle="1" w:styleId="CommentTextChar">
    <w:name w:val="Comment Text Char"/>
    <w:basedOn w:val="DefaultParagraphFont"/>
    <w:link w:val="CommentText"/>
    <w:uiPriority w:val="99"/>
    <w:rsid w:val="001D63A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D63A2"/>
    <w:rPr>
      <w:b/>
      <w:bCs/>
    </w:rPr>
  </w:style>
  <w:style w:type="character" w:customStyle="1" w:styleId="CommentSubjectChar">
    <w:name w:val="Comment Subject Char"/>
    <w:basedOn w:val="CommentTextChar"/>
    <w:link w:val="CommentSubject"/>
    <w:uiPriority w:val="99"/>
    <w:semiHidden/>
    <w:rsid w:val="001D63A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BB521-AAF2-4766-ACEC-540B38AD1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4</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and Discussion - Neural Salinity Forecasting</dc:title>
  <dc:subject>Comparison of LSTM, TCN, Chronos-2, and an LSTM-TCN ensemble under 72-hour and 42-hour input representations</dc:subject>
  <dc:creator>Shehab.Ayman</dc:creator>
  <cp:keywords/>
  <dc:description/>
  <cp:lastModifiedBy>Shehab.Ayman</cp:lastModifiedBy>
  <cp:revision>20</cp:revision>
  <dcterms:created xsi:type="dcterms:W3CDTF">2026-08-14T10:17:00Z</dcterms:created>
  <dcterms:modified xsi:type="dcterms:W3CDTF">2026-08-19T09:17:00Z</dcterms:modified>
</cp:coreProperties>
</file>