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keepLines/>
        <w:pageBreakBefore w:val="0"/>
      </w:pPr>
      <w:r>
        <w:rPr>
          <w:strike w:val="0"/>
        </w:rPr>
        <w:t>6. Results and Discussion</w:t>
      </w:r>
    </w:p>
    <w:p>
      <w:pPr>
        <w:keepLines w:val="0"/>
        <w:widowControl/>
        <w:jc w:val="both"/>
      </w:pPr>
      <w:r>
        <w:rPr>
          <w:strike w:val="0"/>
        </w:rPr>
        <w:t>All classical and neural models were evaluated using the same leakage-safe temporal protocol. January-July 2025 formed the training period, August was used for model selection and residual calibration, and 2,865 forecast origins in September were retained for final testing. Each origin contributed 16 quarter-hour targets, yielding 45,840 held-out values over a four-hour horizon. Within each model family, the unrestricted 72-hour and manually defined 42-hour representations used exactly the same validation and test origins. Persistence, defined by holding the latest observed target value across the horizon, was used as the operational baseline.</w:t>
      </w:r>
    </w:p>
    <w:p>
      <w:pPr>
        <w:keepLines w:val="0"/>
        <w:widowControl/>
        <w:jc w:val="both"/>
      </w:pPr>
      <w:r>
        <w:rPr>
          <w:strike w:val="0"/>
        </w:rPr>
        <w:t>The representation change was deliberately substantial. Classical unrestricted models received 1,440 flattened inputs (288 time steps across five stations), whereas their manual counterpart used four physically motivated scalar features. Sequence models received either 288 x 5 unrestricted histories or 168 x 4 manual histories. The comparison therefore tests whether a compact lag-informed representation improves generalization; it does not isolate the causal effect of a single observation at exactly 42 hours.</w:t>
      </w:r>
    </w:p>
    <w:p>
      <w:pPr>
        <w:pStyle w:val="Heading2"/>
        <w:keepNext/>
        <w:keepLines/>
        <w:pageBreakBefore w:val="0"/>
      </w:pPr>
      <w:r>
        <w:rPr>
          <w:strike w:val="0"/>
        </w:rPr>
        <w:t>6.1 Classical Machine-Learning Performance</w:t>
      </w:r>
    </w:p>
    <w:p>
      <w:pPr>
        <w:keepLines w:val="0"/>
        <w:widowControl/>
        <w:jc w:val="both"/>
      </w:pPr>
      <w:r>
        <w:rPr>
          <w:strike w:val="0"/>
        </w:rPr>
        <w:t>Table 1 reports the Ridge, XGBoost, RBF-SVR, and shallow-MLP benchmarks. Manual 42-hour XGBoost was the strongest classical configuration, with an overall RMSE of 0.2030 mS/cm, R2 of 0.4981, and 9.52% skill relative to persistence. It ranked third across the complete classical-neural benchmark, behind only the manual TCN and calibrated manual Chronos-2, and slightly ahead of the manual LSTM-TCN ensemble. The compact Ridge model also improved markedly and nearly matched the manual LSTM. In contrast, the 42-hour restriction slightly degraded RBF-SVR and more substantially degraded the shallow MLP, demonstrating that the value of the manual representation was algorithm-dependent rather than universal.</w:t>
      </w:r>
    </w:p>
    <w:p>
      <w:pPr>
        <w:pStyle w:val="Caption1"/>
        <w:keepNext/>
      </w:pPr>
      <w:r>
        <w:rPr>
          <w:strike w:val="0"/>
        </w:rPr>
        <w:t>Table 1. Held-out September performance of the classical and lightweight tabular models.</w:t>
      </w:r>
    </w:p>
    <w:tbl>
      <w:tblPr>
        <w:tblW w:type="dxa" w:w="9350"/>
        <w:jc w:val="center"/>
        <w:tblLayout w:type="fixed"/>
        <w:tblLook w:firstColumn="1" w:firstRow="1" w:lastColumn="0" w:lastRow="0" w:noHBand="0" w:noVBand="1" w:val="04A0"/>
        <w:tblInd w:w="100" w:type="dxa"/>
        <w:tblBorders>
          <w:top w:val="single" w:sz="4" w:space="0" w:color="8C8C8C"/>
          <w:start w:val="single" w:sz="4" w:space="0" w:color="8C8C8C"/>
          <w:bottom w:val="single" w:sz="4" w:space="0" w:color="8C8C8C"/>
          <w:end w:val="single" w:sz="4" w:space="0" w:color="8C8C8C"/>
          <w:insideH w:val="single" w:sz="4" w:space="0" w:color="8C8C8C"/>
          <w:insideV w:val="single" w:sz="4" w:space="0" w:color="8C8C8C"/>
        </w:tblBorders>
      </w:tblPr>
      <w:tblGrid>
        <w:gridCol w:w="2350"/>
        <w:gridCol w:w="850"/>
        <w:gridCol w:w="1700"/>
        <w:gridCol w:w="1150"/>
        <w:gridCol w:w="1700"/>
        <w:gridCol w:w="1600"/>
      </w:tblGrid>
      <w:tr>
        <w:trPr>
          <w:tblHeader w:val="true"/>
        </w:trPr>
        <w:tc>
          <w:tcPr>
            <w:tcW w:type="dxa" w:w="23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b/>
                <w:sz w:val="18"/>
              </w:rPr>
              <w:t>Model</w:t>
            </w:r>
          </w:p>
        </w:tc>
        <w:tc>
          <w:tcPr>
            <w:tcW w:type="dxa" w:w="8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b/>
                <w:sz w:val="18"/>
              </w:rPr>
              <w:t>Input</w:t>
            </w:r>
          </w:p>
        </w:tc>
        <w:tc>
          <w:tcPr>
            <w:tcW w:type="dxa" w:w="170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RMSE (mS/cm)</w:t>
            </w:r>
          </w:p>
        </w:tc>
        <w:tc>
          <w:tcPr>
            <w:tcW w:type="dxa" w:w="11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R2</w:t>
            </w:r>
          </w:p>
        </w:tc>
        <w:tc>
          <w:tcPr>
            <w:tcW w:type="dxa" w:w="170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RMSE skill (%)</w:t>
            </w:r>
          </w:p>
        </w:tc>
        <w:tc>
          <w:tcPr>
            <w:tcW w:type="dxa" w:w="160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4 h skill (%)</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Ridge</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72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0.2441</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0.2741</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-8.82</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-12.36</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Ridge</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42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0.2111</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0.4571</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5.89</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5.54</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XGBoost</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72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0.2172</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0.4254</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3.18</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3.15</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XGBoost</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42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0.2030</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0.4981</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9.52</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11.32</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RBF-SVR</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72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0.2244</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0.3869</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0.00</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0.00</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RBF-SVR</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42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0.2256</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0.3804</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-0.53</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-0.44</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Shallow MLP</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72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0.2099</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0.4634</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6.44</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7.38</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Shallow MLP</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42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0.2197</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0.4123</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2.09</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-0.98</w:t>
            </w:r>
          </w:p>
        </w:tc>
      </w:tr>
    </w:tbl>
    <w:p>
      <w:pPr>
        <w:spacing w:after="40"/>
      </w:pPr>
    </w:p>
    <w:p>
      <w:pPr>
        <w:pStyle w:val="Heading3"/>
        <w:keepNext/>
        <w:keepLines/>
        <w:pageBreakBefore w:val="0"/>
      </w:pPr>
      <w:r>
        <w:rPr>
          <w:strike w:val="0"/>
        </w:rPr>
        <w:t>6.1.1 Ridge Regression and XGBoost</w:t>
      </w:r>
    </w:p>
    <w:p>
      <w:pPr>
        <w:keepLines w:val="0"/>
        <w:widowControl/>
        <w:jc w:val="both"/>
      </w:pPr>
      <w:r>
        <w:rPr>
          <w:strike w:val="0"/>
        </w:rPr>
        <w:t>Ridge regression was highly sensitive to dimensionality. Replacing the 1,440-variable history with four manual features reduced RMSE by 0.0330 mS/cm (13.5%) and changed skill from -8.82% to 5.89%. The unrestricted Ridge model was selected by August validation (RMSE 0.2164; skill 13.3%) but failed in September (RMSE 0.2441; skill -8.82%), the largest validation-test reversal in the study. This instability indicates that a linear correction fitted to the full flattened history did not transfer reliably across months.</w:t>
      </w:r>
    </w:p>
    <w:p>
      <w:pPr>
        <w:keepLines w:val="0"/>
        <w:widowControl/>
        <w:jc w:val="both"/>
      </w:pPr>
      <w:r>
        <w:rPr>
          <w:strike w:val="0"/>
        </w:rPr>
        <w:t>XGBoost responded more consistently to the compact representation. Manual features reduced overall RMSE by 0.0142 mS/cm (6.54%), increased all-horizon skill by 6.34 percentage points, and increased four-hour skill from 3.15% to 11.32%. Training time also fell from 122.3 to 1.0 seconds. The result is compatible with strong regularization through representation compression: rather than searching across many correlated station-time variables, the trees operated on a small set of physically guided predictors. However, this experiment does not identify which of the four manual features was responsible for the gain.</w:t>
      </w:r>
    </w:p>
    <w:p>
      <w:pPr>
        <w:pStyle w:val="Heading3"/>
        <w:keepNext/>
        <w:keepLines/>
        <w:pageBreakBefore w:val="0"/>
      </w:pPr>
      <w:r>
        <w:rPr>
          <w:strike w:val="0"/>
        </w:rPr>
        <w:t>6.1.2 RBF-SVR and Shallow MLP</w:t>
      </w:r>
    </w:p>
    <w:p>
      <w:pPr>
        <w:keepLines w:val="0"/>
        <w:widowControl/>
        <w:jc w:val="both"/>
      </w:pPr>
      <w:r>
        <w:rPr>
          <w:strike w:val="0"/>
        </w:rPr>
        <w:t>The regular RBF-SVR used the original standardized radial-basis specification (C = 100; epsilon = 0.01), fitting one independent SVR for each of the 16 lead times, without PCA or any other feature reduction. It did not exceed persistence in either regime. The unrestricted model was calibrated almost completely back to persistence and obtained RMSE 0.2244 mS/cm with effectively zero skill. The manual model obtained RMSE 0.2256 mS/cm and -0.53% skill overall, with -0.44% skill at four hours; its 0.32% skill for the largest changes was negligible. Thus, the physically compact input did not rescue the fixed RBF-SVR configuration, although it reduced fit time from 3,070.9 to 80.9 seconds.</w:t>
      </w:r>
    </w:p>
    <w:p>
      <w:pPr>
        <w:keepLines w:val="0"/>
        <w:widowControl/>
        <w:jc w:val="both"/>
      </w:pPr>
      <w:r>
        <w:rPr>
          <w:strike w:val="0"/>
        </w:rPr>
        <w:t>The shallow tabular MLP provided the second-best classical result with the unrestricted 72-hour input (RMSE 0.2099 mS/cm; skill 6.44%), outperforming the unrestricted LSTM and TCN on overall RMSE. Manual compression was detrimental, raising RMSE by 0.0098 mS/cm and producing negative four-hour skill. This contrast with XGBoost and Ridge shows that the full history retained exploitable nonlinear information for the shallow network, whereas aggressive feature reduction removed useful degrees of freedom.</w:t>
      </w:r>
    </w:p>
    <w:p>
      <w:pPr>
        <w:pStyle w:val="Heading2"/>
        <w:keepNext/>
        <w:keepLines/>
        <w:pageBreakBefore w:val="0"/>
      </w:pPr>
      <w:r>
        <w:rPr>
          <w:strike w:val="0"/>
        </w:rPr>
        <w:t>6.2 Sequence Networks, Foundation Model, and Ensemble</w:t>
      </w:r>
    </w:p>
    <w:p>
      <w:pPr>
        <w:keepLines w:val="0"/>
        <w:widowControl/>
        <w:jc w:val="both"/>
      </w:pPr>
      <w:r>
        <w:rPr>
          <w:strike w:val="0"/>
        </w:rPr>
        <w:t>Table 2 summarizes the LSTM, TCN, calibrated Chronos-2 foundation model, and validation-prespecified equal-weight LSTM-TCN ensemble. Every neural configuration achieved positive skill. The manual 42-hour TCN obtained the lowest overall RMSE in the full study (0.1998 mS/cm), the highest R2 (0.5138), and 10.95% skill. Calibrated Chronos-2 was effectively co-leading (RMSE 0.2008 mS/cm; skill 10.48%), while manual XGBoost remained within 0.0032 mS/cm of the best result. The strongest unrestricted model was calibrated Chronos-2 (RMSE 0.2054 mS/cm; skill 8.45%).</w:t>
      </w:r>
    </w:p>
    <w:p>
      <w:pPr>
        <w:pStyle w:val="Caption1"/>
        <w:keepNext/>
      </w:pPr>
      <w:r>
        <w:rPr>
          <w:strike w:val="0"/>
        </w:rPr>
        <w:t>Table 2. Held-out September performance of the sequence networks, foundation model, and ensemble.</w:t>
      </w:r>
    </w:p>
    <w:tbl>
      <w:tblPr>
        <w:tblW w:type="dxa" w:w="9350"/>
        <w:jc w:val="center"/>
        <w:tblLayout w:type="fixed"/>
        <w:tblLook w:firstColumn="1" w:firstRow="1" w:lastColumn="0" w:lastRow="0" w:noHBand="0" w:noVBand="1" w:val="04A0"/>
        <w:tblInd w:w="100" w:type="dxa"/>
        <w:tblBorders>
          <w:top w:val="single" w:sz="4" w:space="0" w:color="8C8C8C"/>
          <w:start w:val="single" w:sz="4" w:space="0" w:color="8C8C8C"/>
          <w:bottom w:val="single" w:sz="4" w:space="0" w:color="8C8C8C"/>
          <w:end w:val="single" w:sz="4" w:space="0" w:color="8C8C8C"/>
          <w:insideH w:val="single" w:sz="4" w:space="0" w:color="8C8C8C"/>
          <w:insideV w:val="single" w:sz="4" w:space="0" w:color="8C8C8C"/>
        </w:tblBorders>
      </w:tblPr>
      <w:tblGrid>
        <w:gridCol w:w="2350"/>
        <w:gridCol w:w="850"/>
        <w:gridCol w:w="1700"/>
        <w:gridCol w:w="1150"/>
        <w:gridCol w:w="1700"/>
        <w:gridCol w:w="1600"/>
      </w:tblGrid>
      <w:tr>
        <w:trPr>
          <w:tblHeader w:val="true"/>
        </w:trPr>
        <w:tc>
          <w:tcPr>
            <w:tcW w:type="dxa" w:w="23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b/>
                <w:sz w:val="18"/>
              </w:rPr>
              <w:t>Model</w:t>
            </w:r>
          </w:p>
        </w:tc>
        <w:tc>
          <w:tcPr>
            <w:tcW w:type="dxa" w:w="8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b/>
                <w:sz w:val="18"/>
              </w:rPr>
              <w:t>Input</w:t>
            </w:r>
          </w:p>
        </w:tc>
        <w:tc>
          <w:tcPr>
            <w:tcW w:type="dxa" w:w="170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RMSE (mS/cm)</w:t>
            </w:r>
          </w:p>
        </w:tc>
        <w:tc>
          <w:tcPr>
            <w:tcW w:type="dxa" w:w="11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R2</w:t>
            </w:r>
          </w:p>
        </w:tc>
        <w:tc>
          <w:tcPr>
            <w:tcW w:type="dxa" w:w="170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RMSE skill (%)</w:t>
            </w:r>
          </w:p>
        </w:tc>
        <w:tc>
          <w:tcPr>
            <w:tcW w:type="dxa" w:w="160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4 h skill (%)</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LSTM</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72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0.2117</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0.4541</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5.64</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6.82</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LSTM</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42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0.2110</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0.4578</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5.96</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6.86</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TCN</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72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0.2115</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0.4553</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5.74</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6.93</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TCN</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42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0.1998</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0.5138</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10.95</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12.05</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LSTM-TCN ensemble</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72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0.2106</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0.4598</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6.13</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7.33</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LSTM-TCN ensemble</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42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0.2041</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0.4927</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9.03</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10.04</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Chronos-2, calibrated</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72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0.2054</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0.4861</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8.45</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9.34</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Chronos-2, calibrated</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42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0.2008</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0.5087</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10.48</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12.99</w:t>
            </w:r>
          </w:p>
        </w:tc>
      </w:tr>
    </w:tbl>
    <w:p>
      <w:pPr>
        <w:spacing w:after="40"/>
      </w:pPr>
    </w:p>
    <w:p>
      <w:pPr>
        <w:pStyle w:val="Heading3"/>
        <w:keepNext/>
        <w:keepLines/>
        <w:pageBreakBefore w:val="0"/>
      </w:pPr>
      <w:r>
        <w:rPr>
          <w:strike w:val="0"/>
        </w:rPr>
        <w:t>6.2.1 Long Short-Term Memory Network</w:t>
      </w:r>
    </w:p>
    <w:p>
      <w:pPr>
        <w:keepLines w:val="0"/>
        <w:widowControl/>
        <w:jc w:val="both"/>
      </w:pPr>
      <w:r>
        <w:rPr>
          <w:strike w:val="0"/>
        </w:rPr>
        <w:t>The residual LSTM contained 33,872 parameters for the unrestricted input and 33,552 for the manual input. It was almost representation-invariant: truncation reduced overall RMSE by only 0.0007 mS/cm (0.33%) and raised skill by 0.32 percentage points, while endpoint RMSE changed from 0.2627 to 0.2626 mS/cm. The recurrent gates therefore appear capable of suppressing much of the less useful longer history without requiring a hard 42-hour cutoff.</w:t>
      </w:r>
    </w:p>
    <w:p>
      <w:pPr>
        <w:pStyle w:val="Heading3"/>
        <w:keepNext/>
        <w:keepLines/>
        <w:pageBreakBefore w:val="0"/>
      </w:pPr>
      <w:r>
        <w:rPr>
          <w:strike w:val="0"/>
        </w:rPr>
        <w:t>6.2.2 Temporal Convolutional Network</w:t>
      </w:r>
    </w:p>
    <w:p>
      <w:pPr>
        <w:keepLines w:val="0"/>
        <w:widowControl/>
        <w:jc w:val="both"/>
      </w:pPr>
      <w:r>
        <w:rPr>
          <w:strike w:val="0"/>
        </w:rPr>
        <w:t>The TCN contained approximately 36,000 parameters and used a dilated residual stack with a nominal receptive field of 505 quarter-hour steps, exceeding both input lengths. It benefited most among the neural models from the physical prior: manual input reduced RMSE by 0.0117 mS/cm (5.53%), increased skill by 5.21 percentage points, and produced the best overall deterministic score. The result suggests that convolutional extraction was helped by removing temporally diffuse history and emphasizing the lag-informed channels.</w:t>
      </w:r>
    </w:p>
    <w:p>
      <w:pPr>
        <w:pStyle w:val="Heading3"/>
        <w:keepNext/>
        <w:keepLines/>
        <w:pageBreakBefore w:val="0"/>
      </w:pPr>
      <w:r>
        <w:rPr>
          <w:strike w:val="0"/>
        </w:rPr>
        <w:t>6.2.3 Chronos-2 Foundation Model</w:t>
      </w:r>
    </w:p>
    <w:p>
      <w:pPr>
        <w:keepLines w:val="0"/>
        <w:widowControl/>
        <w:jc w:val="both"/>
      </w:pPr>
      <w:r>
        <w:rPr>
          <w:strike w:val="0"/>
        </w:rPr>
        <w:t>Chronos-2 was evaluated using its zero-shot median and then blended with persistence using weights estimated only from August residuals; its 119,477,664 pretrained parameters were not fine-tuned. Raw zero-shot RMSE was 0.2061 mS/cm for 72 hours and 0.2037 mS/cm for 42 hours. Calibration improved these values to 0.2054 and 0.2008 mS/cm, respectively. The gain from calibration was modest but consistent overall. For the largest changes, however, the raw manual forecast slightly outperformed its calibrated version (0.4943 versus 0.5011 mS/cm), indicating that aggregate calibration can attenuate event-scale corrections.</w:t>
      </w:r>
    </w:p>
    <w:p>
      <w:pPr>
        <w:pStyle w:val="Heading3"/>
        <w:keepNext/>
        <w:keepLines/>
        <w:pageBreakBefore w:val="0"/>
      </w:pPr>
      <w:r>
        <w:rPr>
          <w:strike w:val="0"/>
        </w:rPr>
        <w:t>6.2.4 LSTM-TCN Ensemble</w:t>
      </w:r>
    </w:p>
    <w:p>
      <w:pPr>
        <w:keepLines w:val="0"/>
        <w:widowControl/>
        <w:jc w:val="both"/>
      </w:pPr>
      <w:r>
        <w:rPr>
          <w:strike w:val="0"/>
        </w:rPr>
        <w:t>The ensemble was the equal-weight mean of LSTM and TCN forecasts and did not include Chronos-2. It improved upon either unrestricted component overall (RMSE 0.2106 mS/cm), confirming useful error complementarity. Under the manual representation it achieved RMSE 0.2041 mS/cm and 9.03% skill but did not surpass the TCN, because averaging diluted the TCN's stronger 42-hour signal. August validation selected the ensemble in both regimes, whereas the manual TCN ranked first in September, warning that small differences among the leading models may not be temporally stable.</w:t>
      </w:r>
    </w:p>
    <w:p>
      <w:pPr>
        <w:pStyle w:val="Heading2"/>
        <w:keepNext/>
        <w:keepLines/>
        <w:pageBreakBefore w:val="0"/>
      </w:pPr>
      <w:r>
        <w:rPr>
          <w:strike w:val="0"/>
        </w:rPr>
        <w:t>6.3 Cross-Family Horizon and Rapid-Change Comparison</w:t>
      </w:r>
    </w:p>
    <w:p>
      <w:pPr>
        <w:keepLines w:val="0"/>
        <w:widowControl/>
        <w:jc w:val="both"/>
      </w:pPr>
      <w:r>
        <w:rPr>
          <w:strike w:val="0"/>
        </w:rPr>
        <w:t>Table 3 compares the most informative classical and neural configurations. The learned advantage generally increased at the four-hour endpoint, where calibrated manual Chronos-2 reached 12.99% skill, followed by the manual TCN at 12.05% and manual XGBoost at 11.32%. The ranking changed for the largest 10% of target changes: unrestricted XGBoost achieved the lowest RMSE (0.4870 mS/cm) and highest skill (16.74%), despite being materially weaker overall. Unrestricted shallow MLP and manual TCN followed closely. Thus, the best average model was not necessarily the best event-focused model.</w:t>
      </w:r>
    </w:p>
    <w:p>
      <w:pPr>
        <w:pStyle w:val="Caption1"/>
        <w:keepNext/>
      </w:pPr>
      <w:r>
        <w:rPr>
          <w:strike w:val="0"/>
        </w:rPr>
        <w:t>Table 3. Cross-family endpoint and rapid-change diagnostics relative to persistence.</w:t>
      </w:r>
    </w:p>
    <w:tbl>
      <w:tblPr>
        <w:tblW w:type="dxa" w:w="9500"/>
        <w:jc w:val="center"/>
        <w:tblLayout w:type="fixed"/>
        <w:tblLook w:firstColumn="1" w:firstRow="1" w:lastColumn="0" w:lastRow="0" w:noHBand="0" w:noVBand="1" w:val="04A0"/>
        <w:tblInd w:w="100" w:type="dxa"/>
        <w:tblBorders>
          <w:top w:val="single" w:sz="4" w:space="0" w:color="8C8C8C"/>
          <w:start w:val="single" w:sz="4" w:space="0" w:color="8C8C8C"/>
          <w:bottom w:val="single" w:sz="4" w:space="0" w:color="8C8C8C"/>
          <w:end w:val="single" w:sz="4" w:space="0" w:color="8C8C8C"/>
          <w:insideH w:val="single" w:sz="4" w:space="0" w:color="8C8C8C"/>
          <w:insideV w:val="single" w:sz="4" w:space="0" w:color="8C8C8C"/>
        </w:tblBorders>
      </w:tblPr>
      <w:tblGrid>
        <w:gridCol w:w="2250"/>
        <w:gridCol w:w="1350"/>
        <w:gridCol w:w="1150"/>
        <w:gridCol w:w="1350"/>
        <w:gridCol w:w="1650"/>
        <w:gridCol w:w="1750"/>
      </w:tblGrid>
      <w:tr>
        <w:trPr>
          <w:tblHeader w:val="true"/>
        </w:trPr>
        <w:tc>
          <w:tcPr>
            <w:tcW w:type="dxa" w:w="22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b/>
                <w:sz w:val="18"/>
              </w:rPr>
              <w:t>Configuration</w:t>
            </w:r>
          </w:p>
        </w:tc>
        <w:tc>
          <w:tcPr>
            <w:tcW w:type="dxa" w:w="13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Overall skill (%)</w:t>
            </w:r>
          </w:p>
        </w:tc>
        <w:tc>
          <w:tcPr>
            <w:tcW w:type="dxa" w:w="11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4 h RMSE</w:t>
            </w:r>
          </w:p>
        </w:tc>
        <w:tc>
          <w:tcPr>
            <w:tcW w:type="dxa" w:w="13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4 h skill (%)</w:t>
            </w:r>
          </w:p>
        </w:tc>
        <w:tc>
          <w:tcPr>
            <w:tcW w:type="dxa" w:w="16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Largest-change RMSE</w:t>
            </w:r>
          </w:p>
        </w:tc>
        <w:tc>
          <w:tcPr>
            <w:tcW w:type="dxa" w:w="17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Largest-change skill (%)</w:t>
            </w:r>
          </w:p>
        </w:tc>
      </w:tr>
      <w:tr>
        <w:tc>
          <w:tcPr>
            <w:tcW w:type="dxa" w:w="22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Ridge (42 h)</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5.89</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0.2663</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5.54</w:t>
            </w:r>
          </w:p>
        </w:tc>
        <w:tc>
          <w:tcPr>
            <w:tcW w:type="dxa" w:w="16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0.5115</w:t>
            </w:r>
          </w:p>
        </w:tc>
        <w:tc>
          <w:tcPr>
            <w:tcW w:type="dxa" w:w="17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12.56</w:t>
            </w:r>
          </w:p>
        </w:tc>
      </w:tr>
      <w:tr>
        <w:tc>
          <w:tcPr>
            <w:tcW w:type="dxa" w:w="22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XGBoost (72 h)</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3.18</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0.2730</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3.15</w:t>
            </w:r>
          </w:p>
        </w:tc>
        <w:tc>
          <w:tcPr>
            <w:tcW w:type="dxa" w:w="16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0.4870</w:t>
            </w:r>
          </w:p>
        </w:tc>
        <w:tc>
          <w:tcPr>
            <w:tcW w:type="dxa" w:w="17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16.74</w:t>
            </w:r>
          </w:p>
        </w:tc>
      </w:tr>
      <w:tr>
        <w:tc>
          <w:tcPr>
            <w:tcW w:type="dxa" w:w="22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XGBoost (42 h)</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9.52</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0.2500</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11.32</w:t>
            </w:r>
          </w:p>
        </w:tc>
        <w:tc>
          <w:tcPr>
            <w:tcW w:type="dxa" w:w="16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0.5050</w:t>
            </w:r>
          </w:p>
        </w:tc>
        <w:tc>
          <w:tcPr>
            <w:tcW w:type="dxa" w:w="17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13.66</w:t>
            </w:r>
          </w:p>
        </w:tc>
      </w:tr>
      <w:tr>
        <w:tc>
          <w:tcPr>
            <w:tcW w:type="dxa" w:w="22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Shallow MLP (72 h)</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6.44</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0.2611</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7.38</w:t>
            </w:r>
          </w:p>
        </w:tc>
        <w:tc>
          <w:tcPr>
            <w:tcW w:type="dxa" w:w="16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0.4952</w:t>
            </w:r>
          </w:p>
        </w:tc>
        <w:tc>
          <w:tcPr>
            <w:tcW w:type="dxa" w:w="17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15.34</w:t>
            </w:r>
          </w:p>
        </w:tc>
      </w:tr>
      <w:tr>
        <w:tc>
          <w:tcPr>
            <w:tcW w:type="dxa" w:w="22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LSTM (42 h)</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5.96</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0.2626</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6.86</w:t>
            </w:r>
          </w:p>
        </w:tc>
        <w:tc>
          <w:tcPr>
            <w:tcW w:type="dxa" w:w="16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0.5149</w:t>
            </w:r>
          </w:p>
        </w:tc>
        <w:tc>
          <w:tcPr>
            <w:tcW w:type="dxa" w:w="17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11.96</w:t>
            </w:r>
          </w:p>
        </w:tc>
      </w:tr>
      <w:tr>
        <w:tc>
          <w:tcPr>
            <w:tcW w:type="dxa" w:w="22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TCN (42 h)</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10.95</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0.2480</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12.05</w:t>
            </w:r>
          </w:p>
        </w:tc>
        <w:tc>
          <w:tcPr>
            <w:tcW w:type="dxa" w:w="16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0.4961</w:t>
            </w:r>
          </w:p>
        </w:tc>
        <w:tc>
          <w:tcPr>
            <w:tcW w:type="dxa" w:w="17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15.17</w:t>
            </w:r>
          </w:p>
        </w:tc>
      </w:tr>
      <w:tr>
        <w:tc>
          <w:tcPr>
            <w:tcW w:type="dxa" w:w="22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LSTM-TCN ensemble (42 h)</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9.03</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0.2536</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10.04</w:t>
            </w:r>
          </w:p>
        </w:tc>
        <w:tc>
          <w:tcPr>
            <w:tcW w:type="dxa" w:w="16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0.5046</w:t>
            </w:r>
          </w:p>
        </w:tc>
        <w:tc>
          <w:tcPr>
            <w:tcW w:type="dxa" w:w="17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13.72</w:t>
            </w:r>
          </w:p>
        </w:tc>
      </w:tr>
      <w:tr>
        <w:tc>
          <w:tcPr>
            <w:tcW w:type="dxa" w:w="22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Chronos-2, calibrated (42 h)</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10.48</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0.2453</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12.99</w:t>
            </w:r>
          </w:p>
        </w:tc>
        <w:tc>
          <w:tcPr>
            <w:tcW w:type="dxa" w:w="16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0.5011</w:t>
            </w:r>
          </w:p>
        </w:tc>
        <w:tc>
          <w:tcPr>
            <w:tcW w:type="dxa" w:w="17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14.32</w:t>
            </w:r>
          </w:p>
        </w:tc>
      </w:tr>
    </w:tbl>
    <w:p>
      <w:pPr>
        <w:spacing w:after="40"/>
      </w:pPr>
    </w:p>
    <w:p>
      <w:pPr>
        <w:keepLines w:val="0"/>
        <w:widowControl/>
        <w:jc w:val="both"/>
      </w:pPr>
      <w:r>
        <w:rPr>
          <w:strike w:val="0"/>
        </w:rPr>
        <w:t>Positive event skill should not be confused with complete reproduction of abrupt conductivity dynamics. R2 remained negative for every largest-change subset, including -0.2613 for unrestricted XGBoost, -0.3041 for unrestricted shallow MLP, -0.3092 for manual TCN, and -0.3355 for calibrated manual Chronos-2. These models improved upon holding the latest value but still smoothed peaks and explained insufficient event-to-event variance for reliable plume-maximum characterization.</w:t>
      </w:r>
    </w:p>
    <w:p>
      <w:pPr>
        <w:pStyle w:val="Heading2"/>
        <w:keepNext/>
        <w:keepLines/>
        <w:pageBreakBefore w:val="0"/>
      </w:pPr>
      <w:r>
        <w:rPr>
          <w:strike w:val="0"/>
        </w:rPr>
        <w:t>6.4 Interpretation of the Manual 42-Hour Method</w:t>
      </w:r>
    </w:p>
    <w:p>
      <w:pPr>
        <w:keepLines w:val="0"/>
        <w:widowControl/>
        <w:jc w:val="both"/>
      </w:pPr>
      <w:r>
        <w:rPr>
          <w:strike w:val="0"/>
        </w:rPr>
        <w:t>The manual method produced its largest improvements for Ridge and XGBoost among the classical models and for TCN among the sequence models. Overall RMSE decreased by 13.5% for Ridge, 6.54% for XGBoost, 5.53% for TCN, 3.09% for the LSTM-TCN ensemble, 2.22% for calibrated Chronos-2, and only 0.33% for LSTM. Conversely, RMSE increased by 0.53% for RBF-SVR and 4.67% for the shallow MLP. The mixed response argues against treating 42 hours as a universally optimal deterministic lag. It is better interpreted as a useful model-dependent inductive bias that controls dimensionality and focuses some algorithms on recent, physically plausible upstream information.</w:t>
      </w:r>
    </w:p>
    <w:p>
      <w:pPr>
        <w:keepLines w:val="0"/>
        <w:widowControl/>
        <w:jc w:val="both"/>
      </w:pPr>
      <w:r>
        <w:rPr>
          <w:strike w:val="0"/>
        </w:rPr>
        <w:t>A stronger causal experiment would keep sensor availability and dimensionality fixed while comparing predeclared lags such as 24, 36, 42, 48, and 60 hours, together with a temporally shuffled-lag control. Lag selection should use training and validation data only and be repeated across seasons, discharge regimes, and lock-operation states. Until then, the present results support compact physically informed representation learning, but they do not confirm an invariant 42-hour Terneuzen-to-Ghent travel time.</w:t>
      </w:r>
    </w:p>
    <w:p>
      <w:pPr>
        <w:pStyle w:val="Heading2"/>
        <w:keepNext/>
        <w:keepLines/>
        <w:pageBreakBefore w:val="0"/>
      </w:pPr>
      <w:r>
        <w:rPr>
          <w:strike w:val="0"/>
        </w:rPr>
        <w:t>6.5 Uncertainty and Computational Considerations</w:t>
      </w:r>
    </w:p>
    <w:p>
      <w:pPr>
        <w:keepLines w:val="0"/>
        <w:widowControl/>
        <w:jc w:val="both"/>
      </w:pPr>
      <w:r>
        <w:rPr>
          <w:strike w:val="0"/>
        </w:rPr>
        <w:t>Chronos-2 supplied an 80% predictive interval in addition to point forecasts. The unrestricted representation attained 75.52% empirical coverage overall and 79.90% at four hours, with mean width 0.3027 mS/cm. The sharper manual interval narrowed to 0.2281 mS/cm but covered only 60.59% overall and 63.42% at four hours; its interval score also deteriorated from 0.6036 to 0.6419. The 42-hour input therefore improved point accuracy at the cost of substantial undercoverage, requiring blocked post-hoc calibration before operational use.</w:t>
      </w:r>
    </w:p>
    <w:p>
      <w:pPr>
        <w:keepLines w:val="0"/>
        <w:widowControl/>
        <w:jc w:val="both"/>
      </w:pPr>
      <w:r>
        <w:rPr>
          <w:strike w:val="0"/>
        </w:rPr>
        <w:t>The compact representation reduced Chronos-2 CPU inference time for the combined validation and test sets from 573.54 to 279.40 seconds (51.3%). Classical fit-time reductions were even larger: RBF-SVR fell from 3,070.9 to 80.9 seconds (97.4%), XGBoost from 122.3 to 1.0 seconds, and the shallow MLP from 7.7 to 0.4 seconds. The compact TCN trained in 200.4 seconds versus 249.9 seconds for the unrestricted model despite more epochs, whereas LSTM timing was dominated by its longer optimization path. These values are hardware- and stopping-rule-specific, but they demonstrate a material computational benefit when the compact representation remains accurate; for RBF-SVR, the large speedup did not translate into positive predictive skill.</w:t>
      </w:r>
    </w:p>
    <w:p>
      <w:pPr>
        <w:pStyle w:val="Heading2"/>
        <w:keepNext/>
        <w:keepLines/>
        <w:pageBreakBefore w:val="0"/>
      </w:pPr>
      <w:r>
        <w:rPr>
          <w:strike w:val="0"/>
        </w:rPr>
        <w:t>6.6 Limitations and Operational Implications</w:t>
      </w:r>
    </w:p>
    <w:p>
      <w:pPr>
        <w:keepLines w:val="0"/>
        <w:widowControl/>
        <w:jc w:val="both"/>
      </w:pPr>
      <w:r>
        <w:rPr>
          <w:strike w:val="0"/>
        </w:rPr>
        <w:t>The leading manual TCN, calibrated Chronos-2, manual XGBoost, and manual ensemble all achieved approximately 9-11% overall RMSE skill and 10-13% skill at four hours. Their small separation supports treating them as a competitive group rather than asserting a definitive winner. XGBoost offers fast, compact, and interpretable deployment; TCN provides the best average deterministic score; Chronos-2 supplies competitive zero-shot forecasts and probabilistic output; and the ensemble offers a prespecified low-complexity combination. The unrestricted XGBoost result also shows that an event-oriented deployment objective may favor a different model than aggregate RMSE.</w:t>
      </w:r>
    </w:p>
    <w:p>
      <w:pPr>
        <w:keepLines w:val="0"/>
        <w:widowControl/>
        <w:jc w:val="both"/>
      </w:pPr>
      <w:r>
        <w:rPr>
          <w:strike w:val="0"/>
        </w:rPr>
        <w:t>Several limitations constrain generalization. The test set covers one month, and adjacent 15-minute forecast origins share most histories and targets, so the 2,865 rows are not independent replicates for significance testing. Neural results came from one fixed training run per configuration, without seed-to-seed uncertainty. Hyperparameters were intentionally held largely fixed across representations, which isolates the representation change but may disadvantage models such as SVR. Inputs also omit tide, discharge, rainfall, temperature, vessel movement, and lock operation. Future work should use repeated seeds, blocked event- or day-level uncertainty, multiple years and seasons, out-of-distribution events, representation-specific tuning, and external hydrodynamic covariates.</w:t>
      </w:r>
    </w:p>
    <w:p>
      <w:pPr>
        <w:keepLines w:val="0"/>
        <w:widowControl/>
        <w:jc w:val="both"/>
      </w:pPr>
      <w:r>
        <w:rPr>
          <w:strike w:val="0"/>
        </w:rPr>
        <w:t>Operationally, persistence remains a strong short-horizon benchmark, and negative rapid-change R2 values show that none of the tested methods yet reconstructs abrupt salinity transitions adequately. Deployment should therefore combine point skill with event detection, calibrated uncertainty, sensor-quality monitoring, and fallback behavior. The current evidence justifies continued development of the manual 42-hour TCN, calibrated Chronos-2, and manual XGBoost, while retaining unrestricted XGBoost as a candidate for rapid-change forecasting.</w:t>
      </w:r>
    </w:p>
    <w:sectPr w:rsidR="000B7D77">
      <w:footerReference w:type="default" r:id="rId12"/>
      <w:pgSz w:w="12240" w:h="15840"/>
      <w:pgMar w:top="1224" w:right="1296" w:bottom="1152" w:left="1296" w:header="504"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ehab.Ayman" w:date="2026-08-18T14:38:00Z" w:initials="SA">
    <w:p w14:paraId="20D82389" w14:textId="77777777" w:rsidR="001D63A2" w:rsidRDefault="001D63A2" w:rsidP="001D63A2">
      <w:pPr>
        <w:pStyle w:val="CommentText"/>
      </w:pPr>
      <w:r>
        <w:rPr>
          <w:rStyle w:val="CommentReference"/>
        </w:rPr>
        <w:annotationRef/>
      </w:r>
      <w:r>
        <w:t>Probably should not include this in the final cut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D823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3ACB96" w16cex:dateUtc="2026-08-18T1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D82389" w16cid:durableId="6D3ACB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5B75D" w14:textId="77777777" w:rsidR="00B61575" w:rsidRDefault="00B61575" w:rsidP="007E7A91">
      <w:pPr>
        <w:spacing w:after="0"/>
      </w:pPr>
      <w:r>
        <w:separator/>
      </w:r>
    </w:p>
  </w:endnote>
  <w:endnote w:type="continuationSeparator" w:id="0">
    <w:p w14:paraId="70090B94" w14:textId="77777777" w:rsidR="00B61575" w:rsidRDefault="00B61575" w:rsidP="007E7A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DF06B" w14:textId="77777777" w:rsidR="000B7D77" w:rsidRDefault="00000000">
    <w:pPr>
      <w:jc w:val="right"/>
    </w:pPr>
    <w:r>
      <w:rPr>
        <w:sz w:val="18"/>
      </w:rPr>
      <w:fldChar w:fldCharType="begin"/>
    </w:r>
    <w:r>
      <w:rPr>
        <w:sz w:val="18"/>
      </w:rPr>
      <w:instrText xml:space="preserve"> PAGE </w:instrText>
    </w:r>
    <w:r>
      <w:rPr>
        <w:sz w:val="18"/>
      </w:rPr>
      <w:fldChar w:fldCharType="separate"/>
    </w:r>
    <w:r w:rsidR="00C27B4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5B972" w14:textId="77777777" w:rsidR="00B61575" w:rsidRDefault="00B61575" w:rsidP="007E7A91">
      <w:pPr>
        <w:spacing w:after="0"/>
      </w:pPr>
      <w:r>
        <w:separator/>
      </w:r>
    </w:p>
  </w:footnote>
  <w:footnote w:type="continuationSeparator" w:id="0">
    <w:p w14:paraId="62CF2704" w14:textId="77777777" w:rsidR="00B61575" w:rsidRDefault="00B61575" w:rsidP="007E7A9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B2F0C"/>
    <w:multiLevelType w:val="hybridMultilevel"/>
    <w:tmpl w:val="4BE06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09812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hab.Ayman">
    <w15:presenceInfo w15:providerId="AD" w15:userId="S::Shehab.Ayman@bue.edu.eg::c7dbf212-f33d-4382-9153-3ee4212465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C31"/>
    <w:rsid w:val="0008787F"/>
    <w:rsid w:val="000B7D77"/>
    <w:rsid w:val="000F46CA"/>
    <w:rsid w:val="00145CBB"/>
    <w:rsid w:val="00166AD2"/>
    <w:rsid w:val="001D63A2"/>
    <w:rsid w:val="00223BB6"/>
    <w:rsid w:val="002913F8"/>
    <w:rsid w:val="003662E1"/>
    <w:rsid w:val="00396827"/>
    <w:rsid w:val="003A7D3C"/>
    <w:rsid w:val="003F1ACB"/>
    <w:rsid w:val="00410D46"/>
    <w:rsid w:val="00420528"/>
    <w:rsid w:val="00442F8B"/>
    <w:rsid w:val="00684CB5"/>
    <w:rsid w:val="0073346D"/>
    <w:rsid w:val="0076527C"/>
    <w:rsid w:val="007D1C1E"/>
    <w:rsid w:val="007E7A91"/>
    <w:rsid w:val="00870721"/>
    <w:rsid w:val="0094134C"/>
    <w:rsid w:val="009467D0"/>
    <w:rsid w:val="00A51863"/>
    <w:rsid w:val="00A76C97"/>
    <w:rsid w:val="00A94077"/>
    <w:rsid w:val="00AA6877"/>
    <w:rsid w:val="00B61575"/>
    <w:rsid w:val="00B64C9E"/>
    <w:rsid w:val="00BD2023"/>
    <w:rsid w:val="00C27B43"/>
    <w:rsid w:val="00C52ED9"/>
    <w:rsid w:val="00C71599"/>
    <w:rsid w:val="00D073EF"/>
    <w:rsid w:val="00D20C8A"/>
    <w:rsid w:val="00DD05F4"/>
    <w:rsid w:val="00E14D88"/>
    <w:rsid w:val="00E91723"/>
    <w:rsid w:val="00EB113F"/>
    <w:rsid w:val="00F65C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91CDC"/>
  <w15:chartTrackingRefBased/>
  <w15:docId w15:val="{8A157D91-2B92-4285-8B14-3F506179D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13F"/>
    <w:pPr>
      <w:spacing w:after="40" w:line="240" w:lineRule="auto"/>
    </w:pPr>
    <w:rPr>
      <w:rFonts w:ascii="Times New Roman" w:hAnsi="Times New Roman"/>
      <w:sz w:val="22"/>
    </w:rPr>
  </w:style>
  <w:style w:type="paragraph" w:styleId="Heading1">
    <w:name w:val="heading 1"/>
    <w:basedOn w:val="Normal"/>
    <w:next w:val="Normal"/>
    <w:link w:val="Heading1Char"/>
    <w:uiPriority w:val="9"/>
    <w:qFormat/>
    <w:rsid w:val="00AA6877"/>
    <w:pPr>
      <w:keepNext/>
      <w:keepLines/>
      <w:spacing w:after="160"/>
      <w:outlineLvl w:val="0"/>
    </w:pPr>
    <w:rPr>
      <w:rFonts w:asciiTheme="majorBidi" w:eastAsiaTheme="majorEastAsia" w:hAnsiTheme="majorBidi" w:cstheme="majorBidi"/>
      <w:b/>
      <w:color w:val="000000"/>
      <w:sz w:val="36"/>
      <w:szCs w:val="40"/>
    </w:rPr>
  </w:style>
  <w:style w:type="paragraph" w:styleId="Heading2">
    <w:name w:val="heading 2"/>
    <w:basedOn w:val="Normal"/>
    <w:next w:val="Normal"/>
    <w:link w:val="Heading2Char"/>
    <w:uiPriority w:val="9"/>
    <w:unhideWhenUsed/>
    <w:qFormat/>
    <w:rsid w:val="002913F8"/>
    <w:pPr>
      <w:keepNext/>
      <w:keepLines/>
      <w:spacing w:before="200" w:after="100"/>
      <w:outlineLvl w:val="1"/>
    </w:pPr>
    <w:rPr>
      <w:rFonts w:asciiTheme="majorBidi" w:eastAsiaTheme="majorEastAsia" w:hAnsiTheme="majorBidi" w:cstheme="majorBidi"/>
      <w:b/>
      <w:color w:val="000000"/>
      <w:sz w:val="27"/>
      <w:szCs w:val="32"/>
    </w:rPr>
  </w:style>
  <w:style w:type="paragraph" w:styleId="Heading3">
    <w:name w:val="heading 3"/>
    <w:basedOn w:val="Normal"/>
    <w:next w:val="Normal"/>
    <w:link w:val="Heading3Char"/>
    <w:uiPriority w:val="9"/>
    <w:semiHidden/>
    <w:unhideWhenUsed/>
    <w:qFormat/>
    <w:rsid w:val="00F65C31"/>
    <w:pPr>
      <w:keepNext/>
      <w:keepLines/>
      <w:spacing w:before="160" w:after="60"/>
      <w:outlineLvl w:val="2"/>
    </w:pPr>
    <w:rPr>
      <w:rFonts w:eastAsiaTheme="majorEastAsia" w:cstheme="majorBidi"/>
      <w:b/>
      <w:color w:val="000000"/>
      <w:szCs w:val="28"/>
    </w:rPr>
  </w:style>
  <w:style w:type="paragraph" w:styleId="Heading4">
    <w:name w:val="heading 4"/>
    <w:basedOn w:val="Normal"/>
    <w:next w:val="Normal"/>
    <w:link w:val="Heading4Char"/>
    <w:uiPriority w:val="9"/>
    <w:semiHidden/>
    <w:unhideWhenUsed/>
    <w:qFormat/>
    <w:rsid w:val="00F65C31"/>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31"/>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877"/>
    <w:rPr>
      <w:rFonts w:asciiTheme="majorBidi" w:eastAsiaTheme="majorEastAsia" w:hAnsiTheme="majorBidi" w:cstheme="majorBidi"/>
      <w:color w:val="000000" w:themeColor="text1"/>
      <w:sz w:val="40"/>
      <w:szCs w:val="40"/>
    </w:rPr>
  </w:style>
  <w:style w:type="character" w:customStyle="1" w:styleId="Heading2Char">
    <w:name w:val="Heading 2 Char"/>
    <w:basedOn w:val="DefaultParagraphFont"/>
    <w:link w:val="Heading2"/>
    <w:uiPriority w:val="9"/>
    <w:rsid w:val="002913F8"/>
    <w:rPr>
      <w:rFonts w:asciiTheme="majorBidi" w:eastAsiaTheme="majorEastAsia" w:hAnsiTheme="majorBidi" w:cstheme="majorBidi"/>
      <w:color w:val="000000" w:themeColor="text1"/>
      <w:sz w:val="32"/>
      <w:szCs w:val="32"/>
    </w:rPr>
  </w:style>
  <w:style w:type="character" w:customStyle="1" w:styleId="Heading3Char">
    <w:name w:val="Heading 3 Char"/>
    <w:basedOn w:val="DefaultParagraphFont"/>
    <w:link w:val="Heading3"/>
    <w:uiPriority w:val="9"/>
    <w:semiHidden/>
    <w:rsid w:val="00F65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31"/>
    <w:rPr>
      <w:rFonts w:eastAsiaTheme="majorEastAsia" w:cstheme="majorBidi"/>
      <w:color w:val="272727" w:themeColor="text1" w:themeTint="D8"/>
    </w:rPr>
  </w:style>
  <w:style w:type="paragraph" w:styleId="Title">
    <w:name w:val="Title"/>
    <w:basedOn w:val="Normal"/>
    <w:next w:val="Normal"/>
    <w:link w:val="TitleChar"/>
    <w:uiPriority w:val="10"/>
    <w:qFormat/>
    <w:rsid w:val="00F65C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31"/>
    <w:pPr>
      <w:spacing w:before="160"/>
      <w:jc w:val="center"/>
    </w:pPr>
    <w:rPr>
      <w:i/>
      <w:iCs/>
      <w:color w:val="404040" w:themeColor="text1" w:themeTint="BF"/>
    </w:rPr>
  </w:style>
  <w:style w:type="character" w:customStyle="1" w:styleId="QuoteChar">
    <w:name w:val="Quote Char"/>
    <w:basedOn w:val="DefaultParagraphFont"/>
    <w:link w:val="Quote"/>
    <w:uiPriority w:val="29"/>
    <w:rsid w:val="00F65C31"/>
    <w:rPr>
      <w:i/>
      <w:iCs/>
      <w:color w:val="404040" w:themeColor="text1" w:themeTint="BF"/>
    </w:rPr>
  </w:style>
  <w:style w:type="paragraph" w:styleId="ListParagraph">
    <w:name w:val="List Paragraph"/>
    <w:basedOn w:val="Normal"/>
    <w:uiPriority w:val="34"/>
    <w:qFormat/>
    <w:rsid w:val="00F65C31"/>
    <w:pPr>
      <w:ind w:left="720"/>
      <w:contextualSpacing/>
    </w:pPr>
  </w:style>
  <w:style w:type="character" w:styleId="IntenseEmphasis">
    <w:name w:val="Intense Emphasis"/>
    <w:basedOn w:val="DefaultParagraphFont"/>
    <w:uiPriority w:val="21"/>
    <w:qFormat/>
    <w:rsid w:val="00F65C31"/>
    <w:rPr>
      <w:i/>
      <w:iCs/>
      <w:color w:val="0F4761" w:themeColor="accent1" w:themeShade="BF"/>
    </w:rPr>
  </w:style>
  <w:style w:type="paragraph" w:styleId="IntenseQuote">
    <w:name w:val="Intense Quote"/>
    <w:basedOn w:val="Normal"/>
    <w:next w:val="Normal"/>
    <w:link w:val="IntenseQuoteChar"/>
    <w:uiPriority w:val="30"/>
    <w:qFormat/>
    <w:rsid w:val="00F65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31"/>
    <w:rPr>
      <w:i/>
      <w:iCs/>
      <w:color w:val="0F4761" w:themeColor="accent1" w:themeShade="BF"/>
    </w:rPr>
  </w:style>
  <w:style w:type="character" w:styleId="IntenseReference">
    <w:name w:val="Intense Reference"/>
    <w:basedOn w:val="DefaultParagraphFont"/>
    <w:uiPriority w:val="32"/>
    <w:qFormat/>
    <w:rsid w:val="00F65C31"/>
    <w:rPr>
      <w:b/>
      <w:bCs/>
      <w:smallCaps/>
      <w:color w:val="0F4761" w:themeColor="accent1" w:themeShade="BF"/>
      <w:spacing w:val="5"/>
    </w:rPr>
  </w:style>
  <w:style w:type="table" w:styleId="TableGrid">
    <w:name w:val="Table Grid"/>
    <w:basedOn w:val="TableNormal"/>
    <w:uiPriority w:val="39"/>
    <w:rsid w:val="009413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4134C"/>
    <w:rPr>
      <w:color w:val="666666"/>
    </w:rPr>
  </w:style>
  <w:style w:type="paragraph" w:styleId="Header">
    <w:name w:val="header"/>
    <w:basedOn w:val="Normal"/>
    <w:link w:val="HeaderChar"/>
    <w:uiPriority w:val="99"/>
    <w:unhideWhenUsed/>
    <w:rsid w:val="007E7A91"/>
    <w:pPr>
      <w:tabs>
        <w:tab w:val="center" w:pos="4680"/>
        <w:tab w:val="right" w:pos="9360"/>
      </w:tabs>
      <w:spacing w:after="0"/>
    </w:pPr>
  </w:style>
  <w:style w:type="character" w:customStyle="1" w:styleId="HeaderChar">
    <w:name w:val="Header Char"/>
    <w:basedOn w:val="DefaultParagraphFont"/>
    <w:link w:val="Header"/>
    <w:uiPriority w:val="99"/>
    <w:rsid w:val="007E7A91"/>
  </w:style>
  <w:style w:type="paragraph" w:styleId="Footer">
    <w:name w:val="footer"/>
    <w:basedOn w:val="Normal"/>
    <w:link w:val="FooterChar"/>
    <w:uiPriority w:val="99"/>
    <w:unhideWhenUsed/>
    <w:rsid w:val="007E7A91"/>
    <w:pPr>
      <w:tabs>
        <w:tab w:val="center" w:pos="4680"/>
        <w:tab w:val="right" w:pos="9360"/>
      </w:tabs>
      <w:spacing w:after="0"/>
    </w:pPr>
  </w:style>
  <w:style w:type="character" w:customStyle="1" w:styleId="FooterChar">
    <w:name w:val="Footer Char"/>
    <w:basedOn w:val="DefaultParagraphFont"/>
    <w:link w:val="Footer"/>
    <w:uiPriority w:val="99"/>
    <w:rsid w:val="007E7A91"/>
  </w:style>
  <w:style w:type="paragraph" w:customStyle="1" w:styleId="Caption1">
    <w:name w:val="Caption1"/>
    <w:pPr>
      <w:keepNext/>
      <w:spacing w:before="100" w:after="60"/>
    </w:pPr>
    <w:rPr>
      <w:rFonts w:ascii="Times New Roman" w:hAnsi="Times New Roman"/>
      <w:i/>
      <w:sz w:val="20"/>
    </w:rPr>
  </w:style>
  <w:style w:type="character" w:styleId="CommentReference">
    <w:name w:val="annotation reference"/>
    <w:basedOn w:val="DefaultParagraphFont"/>
    <w:uiPriority w:val="99"/>
    <w:semiHidden/>
    <w:unhideWhenUsed/>
    <w:rsid w:val="001D63A2"/>
    <w:rPr>
      <w:sz w:val="16"/>
      <w:szCs w:val="16"/>
    </w:rPr>
  </w:style>
  <w:style w:type="paragraph" w:styleId="CommentText">
    <w:name w:val="annotation text"/>
    <w:basedOn w:val="Normal"/>
    <w:link w:val="CommentTextChar"/>
    <w:uiPriority w:val="99"/>
    <w:unhideWhenUsed/>
    <w:rsid w:val="001D63A2"/>
    <w:rPr>
      <w:sz w:val="20"/>
      <w:szCs w:val="20"/>
    </w:rPr>
  </w:style>
  <w:style w:type="character" w:customStyle="1" w:styleId="CommentTextChar">
    <w:name w:val="Comment Text Char"/>
    <w:basedOn w:val="DefaultParagraphFont"/>
    <w:link w:val="CommentText"/>
    <w:uiPriority w:val="99"/>
    <w:rsid w:val="001D63A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D63A2"/>
    <w:rPr>
      <w:b/>
      <w:bCs/>
    </w:rPr>
  </w:style>
  <w:style w:type="character" w:customStyle="1" w:styleId="CommentSubjectChar">
    <w:name w:val="Comment Subject Char"/>
    <w:basedOn w:val="CommentTextChar"/>
    <w:link w:val="CommentSubject"/>
    <w:uiPriority w:val="99"/>
    <w:semiHidden/>
    <w:rsid w:val="001D63A2"/>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BB521-AAF2-4766-ACEC-540B38AD1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4</Pages>
  <Words>1162</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and Discussion - Complete Classical and Neural Comparison</dc:title>
  <dc:subject>Classical ML, LSTM, TCN, Chronos-2, and ensemble comparison under 72-hour and 42-hour representations</dc:subject>
  <dc:creator>Shehab.Ayman</dc:creator>
  <cp:keywords/>
  <dc:description/>
  <cp:lastModifiedBy>Shehab.Ayman</cp:lastModifiedBy>
  <cp:revision>20</cp:revision>
  <dcterms:created xsi:type="dcterms:W3CDTF">2026-08-14T10:17:00Z</dcterms:created>
  <dcterms:modified xsi:type="dcterms:W3CDTF">2026-08-19T09:17:00Z</dcterms:modified>
</cp:coreProperties>
</file>