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395A6" w14:textId="6545C313" w:rsidR="00145CBB" w:rsidRDefault="0076489A" w:rsidP="0076489A">
      <w:pPr>
        <w:pStyle w:val="Title"/>
        <w:jc w:val="center"/>
      </w:pPr>
      <w:commentRangeStart w:id="0"/>
      <w:r>
        <w:t>Gent-Terneuzen Paper</w:t>
      </w:r>
      <w:r w:rsidR="334D8A3B">
        <w:t xml:space="preserve"> </w:t>
      </w:r>
      <w:commentRangeStart w:id="1"/>
      <w:r w:rsidR="334D8A3B">
        <w:t>Draft</w:t>
      </w:r>
      <w:commentRangeEnd w:id="0"/>
      <w:r>
        <w:rPr>
          <w:rStyle w:val="CommentReference"/>
          <w:sz w:val="56"/>
          <w:szCs w:val="56"/>
        </w:rPr>
        <w:commentReference w:id="0"/>
      </w:r>
      <w:commentRangeEnd w:id="1"/>
      <w:r>
        <w:rPr>
          <w:rStyle w:val="CommentReference"/>
          <w:sz w:val="56"/>
          <w:szCs w:val="56"/>
        </w:rPr>
        <w:commentReference w:id="1"/>
      </w:r>
    </w:p>
    <w:p w14:paraId="6EC681B4" w14:textId="722C9B53" w:rsidR="0076489A" w:rsidRPr="0076489A" w:rsidRDefault="0076489A" w:rsidP="0076489A">
      <w:pPr>
        <w:pStyle w:val="Subtitle"/>
        <w:jc w:val="center"/>
      </w:pPr>
      <w:r>
        <w:t>Authors’ Info</w:t>
      </w:r>
    </w:p>
    <w:p w14:paraId="1B69243A" w14:textId="250209C1" w:rsidR="0076489A" w:rsidRDefault="0076489A" w:rsidP="0076489A">
      <w:pPr>
        <w:rPr>
          <w:b/>
          <w:bCs/>
        </w:rPr>
      </w:pPr>
      <w:r>
        <w:rPr>
          <w:b/>
          <w:bCs/>
        </w:rPr>
        <w:t>Abstract.</w:t>
      </w:r>
    </w:p>
    <w:p w14:paraId="546CD6DA" w14:textId="79D277CD" w:rsidR="0076489A" w:rsidRDefault="0076489A">
      <w:r w:rsidRPr="172EAE36">
        <w:rPr>
          <w:b/>
          <w:bCs/>
        </w:rPr>
        <w:t>Keywords.</w:t>
      </w:r>
      <w:r w:rsidR="602F1788" w:rsidRPr="172EAE36">
        <w:rPr>
          <w:b/>
          <w:bCs/>
        </w:rPr>
        <w:t xml:space="preserve"> </w:t>
      </w:r>
      <w:r w:rsidR="602F1788">
        <w:t>Salt Intrusion;</w:t>
      </w:r>
      <w:r w:rsidR="602F1788" w:rsidRPr="172EAE36">
        <w:rPr>
          <w:b/>
          <w:bCs/>
        </w:rPr>
        <w:t xml:space="preserve"> </w:t>
      </w:r>
      <w:r w:rsidR="602F1788">
        <w:t>Salinity Forecasting; Machine Learning; Linked Data; Decision Support</w:t>
      </w:r>
      <w:r w:rsidR="3E6F7CCF">
        <w:t>.</w:t>
      </w:r>
    </w:p>
    <w:p w14:paraId="081F8901" w14:textId="11CA1A77" w:rsidR="3E6F7CCF" w:rsidRDefault="3E6F7CCF">
      <w:r w:rsidRPr="172EAE36">
        <w:rPr>
          <w:b/>
          <w:bCs/>
        </w:rPr>
        <w:t xml:space="preserve">Funding. </w:t>
      </w:r>
      <w:r>
        <w:t>This work has been carried out within the FWO-SBO WaterFRAME project (S001124N).</w:t>
      </w:r>
    </w:p>
    <w:p w14:paraId="273B2758" w14:textId="166F0363" w:rsidR="3E6F7CCF" w:rsidRDefault="3E6F7CCF">
      <w:r w:rsidRPr="172EAE36">
        <w:rPr>
          <w:b/>
          <w:bCs/>
        </w:rPr>
        <w:t xml:space="preserve">Data Availability Statement. </w:t>
      </w:r>
      <w:r>
        <w:t>Part of data used for this project is published by Vlaamse Milieumaatschappij (VMM)</w:t>
      </w:r>
      <w:r w:rsidR="5D7C4326">
        <w:t xml:space="preserve">, </w:t>
      </w:r>
      <w:r>
        <w:t>Hydrologisch InformatieCentrum (HIC) through the Belgian government portal “Waterinfo”</w:t>
      </w:r>
      <w:r w:rsidR="3372A6A2">
        <w:t xml:space="preserve"> and Rijkswaterstaat (RWS)</w:t>
      </w:r>
      <w:r>
        <w:t xml:space="preserve">. </w:t>
      </w:r>
      <w:r w:rsidR="69F42656">
        <w:t>The industrial partner along with their data are undisclosed due to a non-disclosure agreement.</w:t>
      </w:r>
    </w:p>
    <w:p w14:paraId="2233CD72" w14:textId="4E2A7E9E" w:rsidR="0076489A" w:rsidRDefault="0076489A" w:rsidP="0076489A">
      <w:pPr>
        <w:pStyle w:val="Heading1"/>
      </w:pPr>
      <w:r>
        <w:t>Introduction</w:t>
      </w:r>
    </w:p>
    <w:p w14:paraId="6B102154" w14:textId="77777777" w:rsidR="00C65220" w:rsidRDefault="00C65220" w:rsidP="00C65220">
      <w:r w:rsidRPr="00D9576E">
        <w:t>The G</w:t>
      </w:r>
      <w:r>
        <w:t>h</w:t>
      </w:r>
      <w:r w:rsidRPr="00D9576E">
        <w:t>ent–Terneuzen Canal is a cross-border waterway connecting the Port of Ghent in Belgium with the Western Scheldt estuary at Terneuzen in the Netherlands. In addition to its importance for navigation and regional industry, the canal provides water for industrial processes, cooling, and agricultural activities. These users can be affected by elevated salinity because saline water may increase corrosion, interfere with production processes, limit irrigation use, and require additional treatment. Salt water enters principally from the Western Scheldt and propagates inland from Terneuzen toward Ghent. The magnitude and speed of this propagation depend on freshwater discharge, drought, tidal conditions, lock operations, and industrial water use.</w:t>
      </w:r>
    </w:p>
    <w:p w14:paraId="64DB7CF0" w14:textId="77777777" w:rsidR="00C65220" w:rsidRDefault="00C65220" w:rsidP="00C65220">
      <w:r>
        <w:t>Electrical conductivity is monitored as a practical proxy for salinity at several locations along the canal. Zevenaarshaven, in Terneuzen, is the northernmost station and is closest to the connection with the Western Scheldt. Autrichehaven, at Westdorpe, monitors an intermediate Dutch section of the canal. Rodenhuizedok and Grootdok are situated farther inland in the industrial area of Ghent. These public monitoring stations are complemented by conductivity sensor at an industrial site in Ghent, which represents the principal prediction target in this use case. The resulting network observes the canal from its saline boundary to the industrial locations potentially affected by salt intrusion.</w:t>
      </w:r>
    </w:p>
    <w:p w14:paraId="5354F2E8" w14:textId="1F098AA8" w:rsidR="00C65220" w:rsidRPr="00B2039A" w:rsidRDefault="54F2740B" w:rsidP="172EAE36">
      <w:commentRangeStart w:id="2"/>
      <w:r>
        <w:rPr>
          <w:noProof/>
        </w:rPr>
        <w:lastRenderedPageBreak/>
        <w:drawing>
          <wp:inline distT="0" distB="0" distL="0" distR="0" wp14:anchorId="3B167CB3" wp14:editId="6A7E0DC6">
            <wp:extent cx="5943600" cy="4495800"/>
            <wp:effectExtent l="0" t="0" r="0" b="0"/>
            <wp:docPr id="1374169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69097" name="Picture 1374169097"/>
                    <pic:cNvPicPr/>
                  </pic:nvPicPr>
                  <pic:blipFill>
                    <a:blip r:embed="rId12">
                      <a:extLst>
                        <a:ext uri="{28A0092B-C50C-407E-A947-70E740481C1C}">
                          <a14:useLocalDpi xmlns:a14="http://schemas.microsoft.com/office/drawing/2010/main"/>
                        </a:ext>
                      </a:extLst>
                    </a:blip>
                    <a:stretch>
                      <a:fillRect/>
                    </a:stretch>
                  </pic:blipFill>
                  <pic:spPr>
                    <a:xfrm>
                      <a:off x="0" y="0"/>
                      <a:ext cx="5943600" cy="4495800"/>
                    </a:xfrm>
                    <a:prstGeom prst="rect">
                      <a:avLst/>
                    </a:prstGeom>
                  </pic:spPr>
                </pic:pic>
              </a:graphicData>
            </a:graphic>
          </wp:inline>
        </w:drawing>
      </w:r>
      <w:commentRangeEnd w:id="2"/>
      <w:r w:rsidR="00C65220">
        <w:rPr>
          <w:rStyle w:val="CommentReference"/>
          <w:sz w:val="24"/>
          <w:szCs w:val="24"/>
        </w:rPr>
        <w:commentReference w:id="2"/>
      </w:r>
      <w:r w:rsidR="00C65220">
        <w:t>An important change to this system occurred in 2025 with the commissioning of the New Lock Terneuzen. The lock was officially opened in October 2024, test voyages began on 8 May 2025, and it became a regular, fully operational component of the lock complex on 1 August 2025. The new chamber</w:t>
      </w:r>
      <w:r w:rsidR="00C65220" w:rsidRPr="172EAE36">
        <w:rPr>
          <w:strike/>
        </w:rPr>
        <w:t xml:space="preserve"> is 427 m long, 55 m wide, and 16.44 m deep, and</w:t>
      </w:r>
      <w:r w:rsidR="00C65220">
        <w:t xml:space="preserve"> enables larger and deeper-draught vessels to enter the canal at any tide </w:t>
      </w:r>
      <w:r w:rsidR="00C65220">
        <w:fldChar w:fldCharType="begin"/>
      </w:r>
      <w:r w:rsidR="00C65220">
        <w:instrText xml:space="preserve"> ADDIN ZOTERO_ITEM CSL_CITATION {"citationID":"qCOhZl2w","properties":{"unsorted":false,"formattedCitation":"[1]","plainCitation":"[1]","noteIndex":0},"citationItems":[{"id":871,"uris":["http://zotero.org/users/12010463/items/ME8U8UMU"],"itemData":{"id":871,"type":"webpage","abstract":"On 1 August 2025, we saw the New Lock Terneuzen becoming fully operational. The New Lock now forms a standard part of the Terneuzen North Sea lock complex.","genre":"webpagina","language":"en-US","note":"Last Modified: 2025-09-01T15:17:55","title":"New Lock Terneuzen fully operational from 1 August 2025","URL":"https://www.rijkswaterstaat.nl/en/news/archive/2025/09/new-lock-terneuzen-fully-operational-from-1-august-2025","author":[{"family":"Waterstaat","given":"Ministerie van Infrastructuur","dropping-particle":"en"}],"accessed":{"date-parts":[["2026",8,11]]}}}],"schema":"https://github.com/citation-style-language/schema/raw/master/csl-citation.json"} </w:instrText>
      </w:r>
      <w:r w:rsidR="00C65220">
        <w:fldChar w:fldCharType="separate"/>
      </w:r>
      <w:r w:rsidR="00C65220" w:rsidRPr="172EAE36">
        <w:rPr>
          <w:rFonts w:ascii="Aptos" w:hAnsi="Aptos"/>
        </w:rPr>
        <w:t>[1]</w:t>
      </w:r>
      <w:r w:rsidR="00C65220">
        <w:fldChar w:fldCharType="end"/>
      </w:r>
      <w:r w:rsidR="00C65220">
        <w:t>. It replaced the former Middle Lock and now operates alongside the East and West locks.</w:t>
      </w:r>
    </w:p>
    <w:p w14:paraId="7CF78173" w14:textId="77777777" w:rsidR="00C65220" w:rsidRDefault="00C65220" w:rsidP="00C65220">
      <w:r>
        <w:t xml:space="preserve">This infrastructure change is directly relevant to canal salinity. During a lock operation, water is exchanged between the relatively saline Western Scheldt and the fresher canal. Because saline water is denser, it can enter the canal as a near-bed density flow when the lock gates are operated. </w:t>
      </w:r>
      <w:r w:rsidRPr="172EAE36">
        <w:rPr>
          <w:strike/>
        </w:rPr>
        <w:t>Measurements performed by Deltares before commissioning confirmed that the interaction between the saline and fresh water creates substantial density-driven currents within the new chamber</w:t>
      </w:r>
      <w:r>
        <w:t xml:space="preserve"> </w:t>
      </w:r>
      <w:r>
        <w:fldChar w:fldCharType="begin"/>
      </w:r>
      <w:r>
        <w:instrText xml:space="preserve"> ADDIN ZOTERO_ITEM CSL_CITATION {"citationID":"fhazMGkR","properties":{"unsorted":false,"formattedCitation":"[2]","plainCitation":"[2]","noteIndex":0},"citationItems":[{"id":873,"uris":["http://zotero.org/users/12010463/items/N9M3QWGF"],"itemData":{"id":873,"type":"webpage","abstract":"Just before the commissioning of de Nieuwe Sluis in Terneuzen, researchers from Deltares cross the lock chamber in a small boat. On the hottest day of the year, with temperatures reaching 38 degrees Celsius, Arne van der Hout and Jelle Molenaar remove the forty measuring instruments that have been measuring the density of the water for a month and a half. Not long after, the first ships pass through the lock.","language":"en","title":"Involved from start to finish | Deltares","URL":"https://www.deltares.nl/en/stories/involved-from-start-to-finish","accessed":{"date-parts":[["2026",8,11]]},"issued":{"date-parts":[["2025",10,24]]}}}],"schema":"https://github.com/citation-style-language/schema/raw/master/csl-citation.json"} </w:instrText>
      </w:r>
      <w:r>
        <w:fldChar w:fldCharType="separate"/>
      </w:r>
      <w:r w:rsidRPr="172EAE36">
        <w:rPr>
          <w:rFonts w:ascii="Aptos" w:hAnsi="Aptos"/>
        </w:rPr>
        <w:t>[2]</w:t>
      </w:r>
      <w:r>
        <w:fldChar w:fldCharType="end"/>
      </w:r>
      <w:r>
        <w:t xml:space="preserve">. The larger dimensions of the New Lock mean that each operation can exchange a greater volume of water than the former Middle Lock. Moreover, its increased navigation capacity allows more and larger vessels to use the complex. The Vlaams-Nederlandse Scheldecommissie therefore identifies the commissioning of the New Lock as a factor that increases average water exchange per lock operation and may increase the salt load entering the canal </w:t>
      </w:r>
      <w:r>
        <w:fldChar w:fldCharType="begin"/>
      </w:r>
      <w:r>
        <w:instrText xml:space="preserve"> ADDIN ZOTERO_ITEM CSL_CITATION {"citationID":"scNLukZp","properties":{"unsorted":false,"formattedCitation":"[3]","plainCitation":"[3]","noteIndex":0},"citationItems":[{"id":875,"uris":["http://zotero.org/users/12010463/items/TMHPQW5R"],"itemData":{"id":875,"type":"post-weblog","abstract":"De werkgroep Droogte Kanaal Gent-Terneuzen (KGT) heeft onderzoek uitgevoerd naar de ernst en impact van de droogte en heeft mogelijke oplossingsrichtingen ontwikkeld, deels in samenwerking met North Sea Port. Op deze pagina vind je een uitgebreide samenvatting van het onderzoek en de onderzoeksrapporten die daarbij horen.","container-title":"VNSC","language":"en","title":"Droogte KGT achtergronden en resultaten werkgroep","URL":"https://vnsc.eu/droogte-kgt-achtergronden-en-resultaten-werkgroep/","accessed":{"date-parts":[["2026",8,11]]}}}],"schema":"https://github.com/citation-style-language/schema/raw/master/csl-citation.json"} </w:instrText>
      </w:r>
      <w:r>
        <w:fldChar w:fldCharType="separate"/>
      </w:r>
      <w:r w:rsidRPr="172EAE36">
        <w:rPr>
          <w:rFonts w:ascii="Aptos" w:hAnsi="Aptos"/>
        </w:rPr>
        <w:t>[3]</w:t>
      </w:r>
      <w:r>
        <w:fldChar w:fldCharType="end"/>
      </w:r>
      <w:r>
        <w:t>.</w:t>
      </w:r>
    </w:p>
    <w:p w14:paraId="3E2E0A72" w14:textId="1B23EA2C" w:rsidR="00C65220" w:rsidRPr="007D04DC" w:rsidRDefault="00C65220" w:rsidP="00C65220">
      <w:r>
        <w:lastRenderedPageBreak/>
        <w:t xml:space="preserve">The New Lock should not, however, be interpreted as producing a fixed increase in salinity. Its actual effect depends on the number and timing of lock operations, the distribution of vessels among the three locks, salinity in the Western Scheldt, and the freshwater flow arriving from Belgium. High freshwater discharge provides hydraulic resistance and helps flush saline water back toward Terneuzen. During dry summers and autumns, this resistance </w:t>
      </w:r>
      <w:r w:rsidR="2AC38F79">
        <w:t>weakens</w:t>
      </w:r>
      <w:r w:rsidR="27A2E19C">
        <w:t>,</w:t>
      </w:r>
      <w:r>
        <w:t xml:space="preserve"> and saline water can penetrate much farther toward Ghent. Modelling studies undertaken before commissioning consequently projected greater salt intrusion under the new lock configuration, particularly during low-flow conditions </w:t>
      </w:r>
      <w:r>
        <w:fldChar w:fldCharType="begin"/>
      </w:r>
      <w:r>
        <w:instrText xml:space="preserve"> ADDIN ZOTERO_ITEM CSL_CITATION {"citationID":"9IB5R385","properties":{"unsorted":false,"formattedCitation":"[4]","plainCitation":"[4]","noteIndex":0},"citationItems":[{"id":877,"uris":["http://zotero.org/users/12010463/items/YMFD8426"],"itemData":{"id":877,"type":"webpage","title":"Essay - Assessing the efficiency of mitigation measures for saltwater intrusion in man-made canals: A comprehensive modelling study of the Ghent-Terneuzen canal","URL":"https://essay.utwente.nl/","accessed":{"date-parts":[["2026",8,11]]}}}],"schema":"https://github.com/citation-style-language/schema/raw/master/csl-citation.json"} </w:instrText>
      </w:r>
      <w:r>
        <w:fldChar w:fldCharType="separate"/>
      </w:r>
      <w:r w:rsidRPr="172EAE36">
        <w:rPr>
          <w:rFonts w:ascii="Aptos" w:hAnsi="Aptos"/>
        </w:rPr>
        <w:t>[4]</w:t>
      </w:r>
      <w:r>
        <w:fldChar w:fldCharType="end"/>
      </w:r>
      <w:r>
        <w:t xml:space="preserve">. The environmental approval recognized this risk and required post-commissioning monitoring of chloride concentrations, comparison with predicted impacts, and additional mitigation if increases exceed expectations </w:t>
      </w:r>
      <w:r>
        <w:fldChar w:fldCharType="begin"/>
      </w:r>
      <w:r>
        <w:instrText xml:space="preserve"> ADDIN ZOTERO_ITEM CSL_CITATION {"citationID":"2VyELy5A","properties":{"unsorted":false,"formattedCitation":"[5]","plainCitation":"[5]","noteIndex":0},"citationItems":[{"id":878,"uris":["http://zotero.org/users/12010463/items/UX68EWAY"],"itemData":{"id":878,"type":"webpage","language":"nl","title":"Klaar voor de toekomst! | Nieuwe Sluis Terneuzen","URL":"https://abx03.sitearchief.nl/nieuwesluisterneuzen/20251214043412oe_/https://nieuwesluisterneuzen.eu/","accessed":{"date-parts":[["2026",8,11]]}}}],"schema":"https://github.com/citation-style-language/schema/raw/master/csl-citation.json"} </w:instrText>
      </w:r>
      <w:r>
        <w:fldChar w:fldCharType="separate"/>
      </w:r>
      <w:r w:rsidRPr="172EAE36">
        <w:rPr>
          <w:rFonts w:ascii="Aptos" w:hAnsi="Aptos"/>
        </w:rPr>
        <w:t>[5]</w:t>
      </w:r>
      <w:r>
        <w:fldChar w:fldCharType="end"/>
      </w:r>
      <w:r>
        <w:t>. Therefore, it is currently more accurate to describe increased salinization as an expected and actively monitored risk rather than as an already quantified long-term effect of the new lock.</w:t>
      </w:r>
    </w:p>
    <w:p w14:paraId="07538006" w14:textId="77777777" w:rsidR="00C65220" w:rsidRPr="007D04DC" w:rsidRDefault="00C65220" w:rsidP="00C65220">
      <w:r w:rsidRPr="007D04DC">
        <w:t>The spatially distributed sensor network is especially valuable under this changed hydraulic regime. A conductivity increase detected at Zevenaarshaven can provide an early indication of saline water entering through the lock complex. Its subsequent detection at Autrichehaven, Rodenhuizedok, and Grootdok reveals how quickly and how far the salt signal is progressing inland. Time-lagged features represent this propagation by relating earlier measurements at northern stations to later measurements at the industrial target. Spatial gradients—the differences between simultaneous measurements at neighbouring stations—provide information about the approximate position and strength of the salt front. A steep gradient may indicate that the front lies between two stations, while a decreasing or reversed gradient can indicate dilution or retreat toward the estuary.</w:t>
      </w:r>
    </w:p>
    <w:p w14:paraId="29631A08" w14:textId="77777777" w:rsidR="00C65220" w:rsidRDefault="00C65220" w:rsidP="00C65220">
      <w:r w:rsidRPr="007D04DC">
        <w:t>Forecasting this progression can provide operators with advance warning before unsuitable water reaches an industrial intake. Operators may then adjust intake schedules, use stored or alternative water, modify blending or treatment, or protect salinity-sensitive processes. Longer-term observations can reveal whether the frequency, duration, or inland extent of saline events is changing following the commissioning of the New Lock, during droughts, or under broader climatic change. Finally, because both the waterway and its impacts cross the Belgian Dutch border, shared forecasts and monitoring results can support consistent reporting, coordinated lock and water management, and transparent evaluation of the canal’s changing salinity regime.</w:t>
      </w:r>
    </w:p>
    <w:p w14:paraId="4EA6AB8D" w14:textId="3E9CB54C" w:rsidR="00C65220" w:rsidRDefault="00C65220" w:rsidP="00F86924">
      <w:r>
        <w:t>Addressing this forecasting problem requires more than selecting an appropriate prediction model. First, observations supplied by different organizations must be represented consistently so that measurements referring to the same water body can be discovered, compared, and queried together. Second, the forecasting approach must account for the delayed relationships that arise as conductivity variations propagate between monitoring locations along the canal. The present study therefore lies at the intersection of two research areas: semantic infrastructures for integrating heterogeneous water observations and data-driven methods for forecasting hydro-environmental time series. The following discussion positions the study with respect to these two areas.</w:t>
      </w:r>
    </w:p>
    <w:p w14:paraId="56468D40" w14:textId="77777777" w:rsidR="00C65220" w:rsidRDefault="00C65220" w:rsidP="00C65220">
      <w:pPr>
        <w:pStyle w:val="Heading1"/>
      </w:pPr>
      <w:r w:rsidRPr="00C65220">
        <w:lastRenderedPageBreak/>
        <w:t>Related Work</w:t>
      </w:r>
    </w:p>
    <w:p w14:paraId="00AF707D" w14:textId="628C3905" w:rsidR="00C65220" w:rsidRDefault="00C65220" w:rsidP="00C65220">
      <w:pPr>
        <w:pStyle w:val="Heading2"/>
        <w:numPr>
          <w:ilvl w:val="1"/>
          <w:numId w:val="1"/>
        </w:numPr>
      </w:pPr>
      <w:r w:rsidRPr="00C65220">
        <w:t>Semantic Integration and Water Data Spaces</w:t>
      </w:r>
    </w:p>
    <w:p w14:paraId="7B4808F0" w14:textId="77777777" w:rsidR="00C65220" w:rsidRPr="001F3B65" w:rsidRDefault="00C65220" w:rsidP="00C65220">
      <w:r>
        <w:t xml:space="preserve">Research on water data spaces has investigated how observations from IoT sensors, legacy information systems, and external data providers can be made accessible within a common information environment. The emergence of smart water environments has intensified the need for data-management frameworks capable of handling high-velocity and heterogeneous data streams </w:t>
      </w:r>
      <w:r w:rsidRPr="001F3B65">
        <w:fldChar w:fldCharType="begin"/>
      </w:r>
      <w:r>
        <w:instrText xml:space="preserve"> ADDIN ZOTERO_ITEM CSL_CITATION {"citationID":"jOrY7miw","properties":{"unsorted":false,"formattedCitation":"[6]","plainCitation":"[6]","noteIndex":0},"citationItems":[{"id":9,"uris":["http://zotero.org/users/12010463/items/D33RZT63"],"itemData":{"id":9,"type":"article-journal","abstract":"Water is an essential resource for life and is also a necessary resource for the sustainable economic competitiveness of any country. In recent decades, climate change, economic development, and rising population have led to water scarcity in certain regions. In response, new technologies and water management techniques have been researched and developed, which are now incorporated into the concept of smart cities. These innovations, called smart water systems, aim to enhance water management by monitoring consumption, quality, reservoir levels, leaks, and asset conditions, and optimizing water processes to maximize water system resilience. The first systems were based on smart meters and have advanced to so-called digital twins for water systems. This review aims to present a comprehensive review of smart water system developments, the geographic distribution of the works, their technological readiness level, and their implementation challenges.","container-title":"Water","DOI":"10.3390/w17172571","ISSN":"2073-4441","issue":"17","language":"en","license":"http://creativecommons.org/licenses/by/3.0/","page":"2571","publisher":"Multidisciplinary Digital Publishing Institute","source":"www.mdpi.com","title":"On Smart Water System Developments: A Systematic Review","title-short":"On Smart Water System Developments","volume":"17","author":[{"family":"Quintana","given":"Daniel"},{"family":"Felix-Herran","given":"Luis C."},{"family":"Tudon-Martinez","given":"Juan C."},{"family":"Lozoya-Santos","given":"Jorge de J."}],"issued":{"date-parts":[["2025",1]]}}}],"schema":"https://github.com/citation-style-language/schema/raw/master/csl-citation.json"} </w:instrText>
      </w:r>
      <w:r w:rsidRPr="001F3B65">
        <w:fldChar w:fldCharType="separate"/>
      </w:r>
      <w:r w:rsidRPr="000A122D">
        <w:rPr>
          <w:rFonts w:cs="Times New Roman"/>
        </w:rPr>
        <w:t>[6]</w:t>
      </w:r>
      <w:r w:rsidRPr="001F3B65">
        <w:fldChar w:fldCharType="end"/>
      </w:r>
      <w:r>
        <w:t>.</w:t>
      </w:r>
    </w:p>
    <w:p w14:paraId="158BDAE6" w14:textId="77777777" w:rsidR="00C65220" w:rsidRPr="001F3B65" w:rsidRDefault="00C65220" w:rsidP="00C65220">
      <w:r w:rsidRPr="001F3B65">
        <w:t xml:space="preserve">To address the demand for better resource management, initiatives such as WATERNOMICS </w:t>
      </w:r>
      <w:r w:rsidRPr="001F3B65">
        <w:fldChar w:fldCharType="begin"/>
      </w:r>
      <w:r>
        <w:instrText xml:space="preserve"> ADDIN ZOTERO_ITEM CSL_CITATION {"citationID":"I5neqX4I","properties":{"unsorted":false,"formattedCitation":"[7]","plainCitation":"[7]","noteIndex":0},"citationItems":[{"id":8,"uris":["http://zotero.org/users/12010463/items/NB8QF42Z"],"itemData":{"id":8,"type":"article-journal","abstract":"WATERNOMICS focuses on the development of ICT as an enabling technology to manage water as a resource, increase end-user conservation awareness and affect behavioral changes. Unique aspects of WATERNOMICS include personalized feedback about end-user water consumption, the development of systematic and standards-based water resource management systems, new sensor hardware developments, and the introduction of forecasting and fault detection diagnosis to the analysis of water consumption data. These services will be bundled into the WATERNOMICS Water Information Services Platform. This paper presents the overall architectural approach to WATERNOMICS and details the potential interactive services possible based on this novel platform.","collection-title":"16th Water Distribution System Analysis Conference, WDSA2014","container-title":"Procedia Engineering","DOI":"10.1016/j.proeng.2014.11.225","ISSN":"1877-7058","journalAbbreviation":"Procedia Engineering","page":"1058-1065","source":"ScienceDirect","title":"Interactive Water Services: The WATERNOMICS Approach","title-short":"Interactive Water Services","volume":"89","author":[{"family":"Clifford","given":"E."},{"family":"Coakley","given":"D."},{"family":"Curry","given":"E."},{"family":"Degeler","given":"V."},{"family":"Costa","given":"A."},{"family":"Messervey","given":"T."},{"family":"Van Andel","given":"S. -J."},{"family":"Van de Giesen","given":"N."},{"family":"Kouroupetroglou","given":"C."},{"family":"Mink","given":"J."},{"family":"Smit","given":"S."}],"issued":{"date-parts":[["2014",1,1]]}}}],"schema":"https://github.com/citation-style-language/schema/raw/master/csl-citation.json"} </w:instrText>
      </w:r>
      <w:r w:rsidRPr="001F3B65">
        <w:fldChar w:fldCharType="separate"/>
      </w:r>
      <w:r w:rsidRPr="000A122D">
        <w:rPr>
          <w:rFonts w:cs="Times New Roman"/>
        </w:rPr>
        <w:t>[7]</w:t>
      </w:r>
      <w:r w:rsidRPr="001F3B65">
        <w:fldChar w:fldCharType="end"/>
      </w:r>
      <w:r w:rsidRPr="001F3B65">
        <w:t xml:space="preserve"> have developed Interactive Water Information Services. This approach focuses on increasing end-user awareness and facilitating behavioral change by providing personalized, real-time data regarding water consumption. By bundling sensor data, fault detection diagnostics, and hydro-meteorological information into a unified platform, stakeholders from individual households to municipal utilities are empowered to make informed, data-driven decisions.</w:t>
      </w:r>
    </w:p>
    <w:p w14:paraId="315958D6" w14:textId="77777777" w:rsidR="00C65220" w:rsidRPr="001F3B65" w:rsidRDefault="00C65220" w:rsidP="00C65220">
      <w:r w:rsidRPr="001F3B65">
        <w:t xml:space="preserve">Despite these advancements, managing the diverse data generated by IoT sensors, legacy information systems, and external datasets presents a significant integration challenge. Traditional Database Management Systems (DBMS), which require upfront unifying schemas, are often too rigid and expensive for the dynamic nature of smart environments. To overcome this, </w:t>
      </w:r>
      <w:r w:rsidRPr="001F3B65">
        <w:fldChar w:fldCharType="begin"/>
      </w:r>
      <w:r>
        <w:instrText xml:space="preserve"> ADDIN ZOTERO_ITEM CSL_CITATION {"citationID":"3CYrK6fk","properties":{"unsorted":false,"formattedCitation":"[8]","plainCitation":"[8]","noteIndex":0},"citationItems":[{"id":7,"uris":["http://zotero.org/users/12010463/items/KCGGDBQY"],"itemData":{"id":7,"type":"article-journal","abstract":"As smart environments move from a research vision to concrete manifestations in real-world enabled by the Internet of Things, they are encountering a number of very practical challenges in data management in terms of the flexibility needed to bring together contextual and real-time data, the interface between new digital infrastructures and existing information systems, and how to easily share data between stakeholders in the environment. Therefore, data management approaches for smart environments need to support flexibility, dynamicity, incremental change, while keeping costs to a minimum. A Dataspace is an emerging approach to data management that has proved fruitful for personal information and scientific data management. However, their use within smart environments and for real-time data remains largely unexplored. This paper introduces a Real-time Linked Dataspace (RLD) as an enabling platform for data management within smart environments. This paper identifies common data management requirements for smart energy and water environments, details the RLD architecture and the key support services and their tiered support levels, and a principled approach to “Pay-As-You-Go” data management. The paper presents a dataspace query service for real-time data streams and entities to enable unified entity-centric queries across live and historical stream data. The RLD was validated in 5 real-world pilot smart environments following the OODA (Observe, Orient, Decide, and Act) Loop to build real-time analytics, decisions support, and smart apps for energy and water management. The pilots demonstrate that the RLD enables incremental pay-as-you-go data management with support services that simplify the development of applications and analytics for smart environments. Finally, the paper discusses experiences, lessons learnt, and future directions.","container-title":"Future Generation Computer Systems","DOI":"10.1016/j.future.2018.07.019","ISSN":"0167-739X","journalAbbreviation":"Future Generation Computer Systems","page":"405-422","source":"ScienceDirect","title":"A Real-time Linked Dataspace for the Internet of Things: Enabling “Pay-As-You-Go” Data Management in Smart Environments","title-short":"A Real-time Linked Dataspace for the Internet of Things","volume":"90","author":[{"family":"Curry","given":"Edward"},{"family":"Derguech","given":"Wassim"},{"family":"Hasan","given":"Souleiman"},{"family":"Kouroupetroglou","given":"Christos"},{"family":"Hassan","given":"Umair","non-dropping-particle":"ul"}],"issued":{"date-parts":[["2019",1,1]]}}}],"schema":"https://github.com/citation-style-language/schema/raw/master/csl-citation.json"} </w:instrText>
      </w:r>
      <w:r w:rsidRPr="001F3B65">
        <w:fldChar w:fldCharType="separate"/>
      </w:r>
      <w:r w:rsidRPr="000A122D">
        <w:rPr>
          <w:rFonts w:cs="Times New Roman"/>
        </w:rPr>
        <w:t>[8]</w:t>
      </w:r>
      <w:r w:rsidRPr="001F3B65">
        <w:fldChar w:fldCharType="end"/>
      </w:r>
      <w:r w:rsidRPr="001F3B65">
        <w:t xml:space="preserve"> proposed implementing a Real-time Linked Dataspace (RLD). The RLD paradigm relies on reducing initial setup costs by postponing labor-intensive data harmonization until it is strictly necessary. RLD architecture extends the traditional Lambda Big Data processing model. While standard Lambda architecture manages both batch (historical) and speed (real-time) data layers, the RLD introduces a dedicated "entity layer". This layer utilizes Semantic Web and Linked Data principles to enrich raw sensor streams with contextual metadata, enabling entity-centric querying. Consequently, applications can query the holistic state of a smart water environment without requiring developers to manually maintain complex stream-to-entity relationships. </w:t>
      </w:r>
    </w:p>
    <w:p w14:paraId="4BB1D4D2" w14:textId="77777777" w:rsidR="00C65220" w:rsidRPr="000A0209" w:rsidRDefault="00C65220" w:rsidP="00C65220">
      <w:r w:rsidRPr="000A0209">
        <w:t>Ultimately, the convergence of real-time dataspaces and personalized information services provides the foundational infrastructure necessary to optimize water operations and promote sustainable conservation efforts on a large scale.</w:t>
      </w:r>
    </w:p>
    <w:p w14:paraId="038D5694" w14:textId="301C3582" w:rsidR="00C65220" w:rsidRDefault="00DF36D2" w:rsidP="00DF36D2">
      <w:pPr>
        <w:pStyle w:val="Heading2"/>
        <w:numPr>
          <w:ilvl w:val="1"/>
          <w:numId w:val="1"/>
        </w:numPr>
      </w:pPr>
      <w:r w:rsidRPr="00DF36D2">
        <w:t>Time-series forecasting in hydroinformatics</w:t>
      </w:r>
    </w:p>
    <w:p w14:paraId="5CE28386" w14:textId="77777777" w:rsidR="00DF36D2" w:rsidRPr="001F3B65" w:rsidRDefault="00DF36D2" w:rsidP="00DF36D2">
      <w:pPr>
        <w:spacing w:line="240" w:lineRule="auto"/>
      </w:pPr>
      <w:r w:rsidRPr="001F3B65">
        <w:t>Forecasting hydrological time series has been approached through several distinct paradigms, each with characteristic trade-offs between interpretability, accuracy, and computational cost.</w:t>
      </w:r>
    </w:p>
    <w:p w14:paraId="3B9DD771" w14:textId="73438AE0" w:rsidR="00C65220" w:rsidRDefault="00DF36D2" w:rsidP="00DF36D2">
      <w:pPr>
        <w:pStyle w:val="Heading3"/>
        <w:numPr>
          <w:ilvl w:val="2"/>
          <w:numId w:val="1"/>
        </w:numPr>
      </w:pPr>
      <w:r>
        <w:t>S</w:t>
      </w:r>
      <w:r w:rsidRPr="00DF36D2">
        <w:t xml:space="preserve">tatistical </w:t>
      </w:r>
      <w:r>
        <w:t>T</w:t>
      </w:r>
      <w:r w:rsidRPr="00DF36D2">
        <w:t>ime-</w:t>
      </w:r>
      <w:r>
        <w:t>S</w:t>
      </w:r>
      <w:r w:rsidRPr="00DF36D2">
        <w:t xml:space="preserve">eries </w:t>
      </w:r>
      <w:r>
        <w:t>M</w:t>
      </w:r>
      <w:r w:rsidRPr="00DF36D2">
        <w:t>odels</w:t>
      </w:r>
    </w:p>
    <w:p w14:paraId="68BFB3D6" w14:textId="77777777" w:rsidR="00DF36D2" w:rsidRPr="001F3B65" w:rsidRDefault="00DF36D2" w:rsidP="00DF36D2">
      <w:r>
        <w:t xml:space="preserve">Autoregressive and stochastic approaches </w:t>
      </w:r>
      <w:bookmarkStart w:id="3" w:name="_Int_W3K3ED3b"/>
      <w:r>
        <w:t>remain</w:t>
      </w:r>
      <w:bookmarkEnd w:id="3"/>
      <w:r>
        <w:t xml:space="preserve"> a common baseline. </w:t>
      </w:r>
      <w:r>
        <w:fldChar w:fldCharType="begin"/>
      </w:r>
      <w:r>
        <w:instrText xml:space="preserve"> ADDIN ZOTERO_ITEM CSL_CITATION {"citationID":"mL1YEvkX","properties":{"unsorted":false,"formattedCitation":"[9]","plainCitation":"[9]","noteIndex":0},"citationItems":[{"id":5,"uris":["http://zotero.org/users/12010463/items/44ISCNAV"],"itemData":{"id":5,"type":"article-journal","abstract":"River discharge forecasting plays a critical role in sustainable water resource management. This study evaluated six predictive approaches: three machine learning models—Support Vector Regression (SVR), Random Forest (RF), and K-Nearest Neighbors (KNN); a deep learning model—Long Short-Term Memory (LSTM); and two time-series models: Contemporaneous Autoregressive Moving Average (CARMA) and CARMA with Generalized Autoregressive Conditional Heteroskedasticity (CARMA-GARCH). Eight hydrometric stations on the Kashkan River Basin in western Iran were selected as case studies to evaluate model performance. Two scenarios were evaluated: the first involved predicting river discharge while accounting for a lag time within the data itself, and the second focused on forecasting river discharge at any station based on upstream hydrometric station data. Error metrics included Root Mean Square Error (RMSE), Coefficient of Determination (R2), and the Nash–Sutcliffe Efficiency (NSE). Results indicated that time series models and machine learning methods effectively forecast river discharge. The best results in machine learning models were achieved with RF models for both scenarios, with average RMSE values of 4.6 m3/s and 4.1 m3/s, while the CARMA-GARCH was the best time series model and had RMSE values of 2.5 m3/s and 2.48 m3/s.","container-title":"Applied Water Science","DOI":"10.1007/s13201-025-02632-w","ISSN":"2190-5495","issue":"11","journalAbbreviation":"Appl Water Sci","language":"en","page":"273","source":"Springer Link","title":"A comparative study between time series and soft computing models for river discharge forecasting","volume":"15","author":[{"family":"Hamzeh","given":"Haghiabi Amir"},{"family":"Zahra","given":"Askari"},{"family":"Mohammad","given":"Nazeri Tahroudi"}],"issued":{"date-parts":[["2025",10,28]]}}}],"schema":"https://github.com/citation-style-language/schema/raw/master/csl-citation.json"} </w:instrText>
      </w:r>
      <w:r>
        <w:fldChar w:fldCharType="separate"/>
      </w:r>
      <w:r w:rsidRPr="172EAE36">
        <w:rPr>
          <w:rFonts w:cs="Times New Roman"/>
        </w:rPr>
        <w:t>[9]</w:t>
      </w:r>
      <w:r>
        <w:fldChar w:fldCharType="end"/>
      </w:r>
      <w:r>
        <w:t xml:space="preserve"> evaluated Contemporaneous Autoregressive Moving Average (CARMA) and its heteroskedasticity-aware extension CARMA-GARCH across eight hydrometric stations on the Kashkan River Basin, </w:t>
      </w:r>
      <w:r>
        <w:lastRenderedPageBreak/>
        <w:t xml:space="preserve">finding that explicitly modeling time-varying volatility via GARCH reduced RMSE by up to 36% relative to plain CARMA, particularly during high-flow periods. </w:t>
      </w:r>
      <w:r>
        <w:fldChar w:fldCharType="begin"/>
      </w:r>
      <w:r>
        <w:instrText xml:space="preserve"> ADDIN ZOTERO_ITEM CSL_CITATION {"citationID":"f2DYTjqb","properties":{"unsorted":false,"formattedCitation":"[10]","plainCitation":"[10]","noteIndex":0},"citationItems":[{"id":4,"uris":["http://zotero.org/users/12010463/items/SWF9NVKR"],"itemData":{"id":4,"type":"article-journal","abstract":"Genetic programming (GP) is an evolutionary regression method that has received considerable interest to model hydro-environmental phenomena recently. Considering the sparseness of hydro-meteorological stations on northern areas, this study investigates the benefits and downfalls of univariate streamflow modeling at high latitudes using GP and seasonal autoregressive integrated moving average (SARIMA). Furthermore, a new evolutionary time series model, called GP-SARIMA, is introduced to enhance streamflow forecasting accuracy at long-term horizons in a lake-river system. The paper includes testing the new model for one-step-ahead forecasts of daily mean, weekly mean, and monthly mean streamflow in the headwaters of the Oulujoki River, Finland. The results showed that a combination of correlogram and average mutual information (AMI) analysis might yield in the selection of the optimum lags that are needed to be used as the predictors of streamflow models. With Nash-Sutcliffe efficiency values of more than 99%, both GP and SARIMA models exhibited good performance for daily streamflow prediction. However, they were not able to precisely model the intramonthly snow water equivalent in the long-term forecast. The proposed ensemble model, which integrates the best GP and SARIMA models with the most efficient predictor, may eliminate one-fourth of root mean squared errors of standalone models. The GP-SARIMA also showed up to three times improvement in the accuracy of the standalone models based on the Nash-Sutcliff efficiency measure.","container-title":"Theoretical and Applied Climatology","DOI":"10.1007/s00704-022-03939-3","ISSN":"1434-4483","issue":"1","journalAbbreviation":"Theor Appl Climatol","language":"en","page":"255-268","source":"Springer Link","title":"A new evolutionary time series model for streamflow forecasting in boreal lake-river systems","volume":"148","author":[{"family":"Danandeh Mehr","given":"Ali"},{"family":"Ghadimi","given":"Sahand"},{"family":"Marttila","given":"Hannu"},{"family":"Torabi Haghighi","given":"Ali"}],"issued":{"date-parts":[["2022",4,1]]}}}],"schema":"https://github.com/citation-style-language/schema/raw/master/csl-citation.json"} </w:instrText>
      </w:r>
      <w:r>
        <w:fldChar w:fldCharType="separate"/>
      </w:r>
      <w:r w:rsidRPr="172EAE36">
        <w:rPr>
          <w:rFonts w:cs="Times New Roman"/>
        </w:rPr>
        <w:t>[10]</w:t>
      </w:r>
      <w:r>
        <w:fldChar w:fldCharType="end"/>
      </w:r>
      <w:r>
        <w:t xml:space="preserve"> Similarly, benchmarked SARIMA against a symbolic-regression alternative for a boreal lake-river system in Finland, showing SARIMA performed strongly at daily resolution (NSE &gt; 0.99) but degraded sharply at monthly resolution due to its inability to capture intramonthly snowmelt dynamics.</w:t>
      </w:r>
    </w:p>
    <w:p w14:paraId="17F1AE2F" w14:textId="085FF8FA" w:rsidR="00DF36D2" w:rsidRDefault="00DF36D2" w:rsidP="00DF36D2">
      <w:pPr>
        <w:pStyle w:val="Heading3"/>
        <w:numPr>
          <w:ilvl w:val="2"/>
          <w:numId w:val="1"/>
        </w:numPr>
      </w:pPr>
      <w:r>
        <w:t>Machine Learning Techniques</w:t>
      </w:r>
    </w:p>
    <w:p w14:paraId="2FC020D6" w14:textId="77777777" w:rsidR="00DF36D2" w:rsidRPr="001F3B65" w:rsidRDefault="00DF36D2" w:rsidP="00DF36D2">
      <w:r w:rsidRPr="001F3B65">
        <w:t xml:space="preserve">Kernel- and tree-based learners are widely used as more flexible alternatives to linear stochastic models. </w:t>
      </w:r>
      <w:r w:rsidRPr="001F3B65">
        <w:fldChar w:fldCharType="begin"/>
      </w:r>
      <w:r>
        <w:instrText xml:space="preserve"> ADDIN ZOTERO_ITEM CSL_CITATION {"citationID":"8QiqvMsT","properties":{"unsorted":false,"formattedCitation":"[11]","plainCitation":"[11]","noteIndex":0},"citationItems":[{"id":3,"uris":["http://zotero.org/users/12010463/items/ZNXQQRCY"],"itemData":{"id":3,"type":"article-journal","abstract":"Applying feed-forward neural networks has been limited due to the use of conventional gradient-based slow learning algorithms in training and iterative determination of network parameters. This paper demonstrates a method that partly overcomes these problems by using an extreme learning machine (ELM) which predicts the hydrological time-series very quickly. ELMs, also called single-hidden layer feed-forward neural networks (SLFNs), are able to well generalize the performance for extremely complex problems. ELM randomly chooses a single hidden layer and analytically determines the weights to predict the output. The ELM method was applied to predict hydrological flow series for the Tryggevælde Catchment, Denmark and for the Mississippi River at Vicksburg, USA. The results confirmed that ELM's performance was similar or better in terms of root mean square error (RMSE) and normalized root mean square error (NRMSE) compared to ANN and other previously published techniques, namely evolutionary computation based support vector machine (EC-SVM), standard chaotic approach and inverse approach.","container-title":"Journal of Hydroinformatics","DOI":"10.2166/hydro.2015.020","ISSN":"1464-7141","issue":"2","journalAbbreviation":"Journal of Hydroinformatics","page":"345-353","source":"Silverchair","title":"Prediction of hydrological time-series using extreme learning machine","volume":"18","author":[{"family":"Atiquzzaman","given":"Md"},{"family":"Kandasamy","given":"Jaya"}],"issued":{"date-parts":[["2015",10,7]]}}}],"schema":"https://github.com/citation-style-language/schema/raw/master/csl-citation.json"} </w:instrText>
      </w:r>
      <w:r w:rsidRPr="001F3B65">
        <w:fldChar w:fldCharType="separate"/>
      </w:r>
      <w:r w:rsidRPr="000A122D">
        <w:rPr>
          <w:rFonts w:cs="Times New Roman"/>
        </w:rPr>
        <w:t>[11]</w:t>
      </w:r>
      <w:r w:rsidRPr="001F3B65">
        <w:fldChar w:fldCharType="end"/>
      </w:r>
      <w:r w:rsidRPr="001F3B65">
        <w:t xml:space="preserve"> applied Extreme Learning Machines (ELM) to flow prediction for the </w:t>
      </w:r>
      <w:r w:rsidRPr="00BC1517">
        <w:t xml:space="preserve">Tryggevælde </w:t>
      </w:r>
      <w:r w:rsidRPr="001F3B65">
        <w:t xml:space="preserve">Catchment and the Mississippi River, reporting accuracy comparable to or better than ANN and evolutionary-computation-based SVM (EC-SVM) while eliminating the need for iterative training entirely. </w:t>
      </w:r>
      <w:r w:rsidRPr="001F3B65">
        <w:fldChar w:fldCharType="begin"/>
      </w:r>
      <w:r>
        <w:instrText xml:space="preserve"> ADDIN ZOTERO_ITEM CSL_CITATION {"citationID":"ibULs7jD","properties":{"unsorted":false,"formattedCitation":"[12]","plainCitation":"[12]","noteIndex":0},"citationItems":[{"id":2,"uris":["http://zotero.org/users/12010463/items/W4S8VX7C"],"itemData":{"id":2,"type":"webpage","title":"Time Series Data Mining in Real Time Surface Runoff Forecasting Through Support Vector Machine - AMiner","URL":"https://www.aminer.cn/pub/56d92470dabfae2eeeb238c3","accessed":{"date-parts":[["2026",8,10]]}}}],"schema":"https://github.com/citation-style-language/schema/raw/master/csl-citation.json"} </w:instrText>
      </w:r>
      <w:r w:rsidRPr="001F3B65">
        <w:fldChar w:fldCharType="separate"/>
      </w:r>
      <w:r w:rsidRPr="000A122D">
        <w:rPr>
          <w:rFonts w:cs="Times New Roman"/>
        </w:rPr>
        <w:t>[12]</w:t>
      </w:r>
      <w:r w:rsidRPr="001F3B65">
        <w:fldChar w:fldCharType="end"/>
      </w:r>
      <w:r w:rsidRPr="001F3B65">
        <w:t xml:space="preserve"> used Support Vector Regression with wavelet-preprocessed inputs for rainfall-runoff forecasting on the Narmada basin, outperforming a comparable ANN baseline. Across a broader model comparison, </w:t>
      </w:r>
      <w:r w:rsidRPr="001F3B65">
        <w:fldChar w:fldCharType="begin"/>
      </w:r>
      <w:r>
        <w:instrText xml:space="preserve"> ADDIN ZOTERO_ITEM CSL_CITATION {"citationID":"GiNuHGN6","properties":{"unsorted":false,"formattedCitation":"[9]","plainCitation":"[9]","noteIndex":0},"citationItems":[{"id":5,"uris":["http://zotero.org/users/12010463/items/44ISCNAV"],"itemData":{"id":5,"type":"article-journal","abstract":"River discharge forecasting plays a critical role in sustainable water resource management. This study evaluated six predictive approaches: three machine learning models—Support Vector Regression (SVR), Random Forest (RF), and K-Nearest Neighbors (KNN); a deep learning model—Long Short-Term Memory (LSTM); and two time-series models: Contemporaneous Autoregressive Moving Average (CARMA) and CARMA with Generalized Autoregressive Conditional Heteroskedasticity (CARMA-GARCH). Eight hydrometric stations on the Kashkan River Basin in western Iran were selected as case studies to evaluate model performance. Two scenarios were evaluated: the first involved predicting river discharge while accounting for a lag time within the data itself, and the second focused on forecasting river discharge at any station based on upstream hydrometric station data. Error metrics included Root Mean Square Error (RMSE), Coefficient of Determination (R2), and the Nash–Sutcliffe Efficiency (NSE). Results indicated that time series models and machine learning methods effectively forecast river discharge. The best results in machine learning models were achieved with RF models for both scenarios, with average RMSE values of 4.6 m3/s and 4.1 m3/s, while the CARMA-GARCH was the best time series model and had RMSE values of 2.5 m3/s and 2.48 m3/s.","container-title":"Applied Water Science","DOI":"10.1007/s13201-025-02632-w","ISSN":"2190-5495","issue":"11","journalAbbreviation":"Appl Water Sci","language":"en","page":"273","source":"Springer Link","title":"A comparative study between time series and soft computing models for river discharge forecasting","volume":"15","author":[{"family":"Hamzeh","given":"Haghiabi Amir"},{"family":"Zahra","given":"Askari"},{"family":"Mohammad","given":"Nazeri Tahroudi"}],"issued":{"date-parts":[["2025",10,28]]}}}],"schema":"https://github.com/citation-style-language/schema/raw/master/csl-citation.json"} </w:instrText>
      </w:r>
      <w:r w:rsidRPr="001F3B65">
        <w:fldChar w:fldCharType="separate"/>
      </w:r>
      <w:r w:rsidRPr="000A122D">
        <w:rPr>
          <w:rFonts w:cs="Times New Roman"/>
        </w:rPr>
        <w:t>[9]</w:t>
      </w:r>
      <w:r w:rsidRPr="001F3B65">
        <w:fldChar w:fldCharType="end"/>
      </w:r>
      <w:r w:rsidRPr="001F3B65">
        <w:t xml:space="preserve"> found Random Forest to be the most consistent performer among SVR, RF, and KNN, attributing this to its ensemble averaging and robustness to non-linear interactions and noise — though all three lagged behind CARMA-GARCH in the same study, underscoring that no single paradigm dominates universally.</w:t>
      </w:r>
    </w:p>
    <w:p w14:paraId="7A67085B" w14:textId="7845AAA8" w:rsidR="00DA06C6" w:rsidRDefault="00DA06C6" w:rsidP="00DA06C6">
      <w:pPr>
        <w:pStyle w:val="Heading3"/>
        <w:numPr>
          <w:ilvl w:val="2"/>
          <w:numId w:val="1"/>
        </w:numPr>
      </w:pPr>
      <w:r>
        <w:t>Deep Learning Techniques</w:t>
      </w:r>
    </w:p>
    <w:p w14:paraId="611BACCB" w14:textId="77777777" w:rsidR="00DA06C6" w:rsidRPr="001F3B65" w:rsidRDefault="00DA06C6" w:rsidP="00DA06C6">
      <w:r w:rsidRPr="001F3B65">
        <w:t xml:space="preserve">LSTM networks were included as the deep-learning representative in </w:t>
      </w:r>
      <w:r w:rsidRPr="001F3B65">
        <w:fldChar w:fldCharType="begin"/>
      </w:r>
      <w:r>
        <w:instrText xml:space="preserve"> ADDIN ZOTERO_ITEM CSL_CITATION {"citationID":"flUQKn4t","properties":{"unsorted":false,"formattedCitation":"[9]","plainCitation":"[9]","noteIndex":0},"citationItems":[{"id":5,"uris":["http://zotero.org/users/12010463/items/44ISCNAV"],"itemData":{"id":5,"type":"article-journal","abstract":"River discharge forecasting plays a critical role in sustainable water resource management. This study evaluated six predictive approaches: three machine learning models—Support Vector Regression (SVR), Random Forest (RF), and K-Nearest Neighbors (KNN); a deep learning model—Long Short-Term Memory (LSTM); and two time-series models: Contemporaneous Autoregressive Moving Average (CARMA) and CARMA with Generalized Autoregressive Conditional Heteroskedasticity (CARMA-GARCH). Eight hydrometric stations on the Kashkan River Basin in western Iran were selected as case studies to evaluate model performance. Two scenarios were evaluated: the first involved predicting river discharge while accounting for a lag time within the data itself, and the second focused on forecasting river discharge at any station based on upstream hydrometric station data. Error metrics included Root Mean Square Error (RMSE), Coefficient of Determination (R2), and the Nash–Sutcliffe Efficiency (NSE). Results indicated that time series models and machine learning methods effectively forecast river discharge. The best results in machine learning models were achieved with RF models for both scenarios, with average RMSE values of 4.6 m3/s and 4.1 m3/s, while the CARMA-GARCH was the best time series model and had RMSE values of 2.5 m3/s and 2.48 m3/s.","container-title":"Applied Water Science","DOI":"10.1007/s13201-025-02632-w","ISSN":"2190-5495","issue":"11","journalAbbreviation":"Appl Water Sci","language":"en","page":"273","source":"Springer Link","title":"A comparative study between time series and soft computing models for river discharge forecasting","volume":"15","author":[{"family":"Hamzeh","given":"Haghiabi Amir"},{"family":"Zahra","given":"Askari"},{"family":"Mohammad","given":"Nazeri Tahroudi"}],"issued":{"date-parts":[["2025",10,28]]}}}],"schema":"https://github.com/citation-style-language/schema/raw/master/csl-citation.json"} </w:instrText>
      </w:r>
      <w:r w:rsidRPr="001F3B65">
        <w:fldChar w:fldCharType="separate"/>
      </w:r>
      <w:r w:rsidRPr="000A122D">
        <w:rPr>
          <w:rFonts w:cs="Times New Roman"/>
        </w:rPr>
        <w:t>[9]</w:t>
      </w:r>
      <w:r w:rsidRPr="001F3B65">
        <w:fldChar w:fldCharType="end"/>
      </w:r>
      <w:r w:rsidRPr="001F3B65">
        <w:t>, performing competitively with Random Forest and best capturing long-range temporal dependencies at stations with strong autocorrelation, though both ML and DL models still trailed CARMA-GARCH under upstream-informed input scenarios.</w:t>
      </w:r>
    </w:p>
    <w:p w14:paraId="6378086B" w14:textId="499D261B" w:rsidR="00DA06C6" w:rsidRDefault="00DA06C6" w:rsidP="00DA06C6">
      <w:pPr>
        <w:pStyle w:val="Heading3"/>
        <w:numPr>
          <w:ilvl w:val="2"/>
          <w:numId w:val="1"/>
        </w:numPr>
      </w:pPr>
      <w:r>
        <w:t>Hybrid and Evolutionary Approaches</w:t>
      </w:r>
    </w:p>
    <w:p w14:paraId="58EFA265" w14:textId="77777777" w:rsidR="00DA06C6" w:rsidRPr="004B4CDC" w:rsidRDefault="00DA06C6" w:rsidP="00DA06C6">
      <w:r w:rsidRPr="0036748B">
        <w:t>Genetic Programming (GP) has been used both as a standalone symbolic-regression forecaster and as an ensemble component.</w:t>
      </w:r>
      <w:r>
        <w:t xml:space="preserve"> </w:t>
      </w:r>
      <w:r>
        <w:fldChar w:fldCharType="begin"/>
      </w:r>
      <w:r>
        <w:instrText xml:space="preserve"> ADDIN ZOTERO_ITEM CSL_CITATION {"citationID":"cBHk7eOg","properties":{"unsorted":false,"formattedCitation":"[10]","plainCitation":"[10]","noteIndex":0},"citationItems":[{"id":4,"uris":["http://zotero.org/users/12010463/items/SWF9NVKR"],"itemData":{"id":4,"type":"article-journal","abstract":"Genetic programming (GP) is an evolutionary regression method that has received considerable interest to model hydro-environmental phenomena recently. Considering the sparseness of hydro-meteorological stations on northern areas, this study investigates the benefits and downfalls of univariate streamflow modeling at high latitudes using GP and seasonal autoregressive integrated moving average (SARIMA). Furthermore, a new evolutionary time series model, called GP-SARIMA, is introduced to enhance streamflow forecasting accuracy at long-term horizons in a lake-river system. The paper includes testing the new model for one-step-ahead forecasts of daily mean, weekly mean, and monthly mean streamflow in the headwaters of the Oulujoki River, Finland. The results showed that a combination of correlogram and average mutual information (AMI) analysis might yield in the selection of the optimum lags that are needed to be used as the predictors of streamflow models. With Nash-Sutcliffe efficiency values of more than 99%, both GP and SARIMA models exhibited good performance for daily streamflow prediction. However, they were not able to precisely model the intramonthly snow water equivalent in the long-term forecast. The proposed ensemble model, which integrates the best GP and SARIMA models with the most efficient predictor, may eliminate one-fourth of root mean squared errors of standalone models. The GP-SARIMA also showed up to three times improvement in the accuracy of the standalone models based on the Nash-Sutcliff efficiency measure.","container-title":"Theoretical and Applied Climatology","DOI":"10.1007/s00704-022-03939-3","ISSN":"1434-4483","issue":"1","journalAbbreviation":"Theor Appl Climatol","language":"en","page":"255-268","source":"Springer Link","title":"A new evolutionary time series model for streamflow forecasting in boreal lake-river systems","volume":"148","author":[{"family":"Danandeh Mehr","given":"Ali"},{"family":"Ghadimi","given":"Sahand"},{"family":"Marttila","given":"Hannu"},{"family":"Torabi Haghighi","given":"Ali"}],"issued":{"date-parts":[["2022",4,1]]}}}],"schema":"https://github.com/citation-style-language/schema/raw/master/csl-citation.json"} </w:instrText>
      </w:r>
      <w:r>
        <w:fldChar w:fldCharType="separate"/>
      </w:r>
      <w:r w:rsidRPr="000A122D">
        <w:rPr>
          <w:rFonts w:cs="Times New Roman"/>
        </w:rPr>
        <w:t>[10]</w:t>
      </w:r>
      <w:r>
        <w:fldChar w:fldCharType="end"/>
      </w:r>
      <w:r w:rsidRPr="0036748B">
        <w:t xml:space="preserve"> </w:t>
      </w:r>
      <w:r>
        <w:t>Proposed</w:t>
      </w:r>
      <w:r w:rsidRPr="0036748B">
        <w:t xml:space="preserve"> GP-SARIMA, which feeds GP and SARIMA forecasts as predictors into a second-stage GP model, yielding 20–25% RMSE reductions over </w:t>
      </w:r>
      <w:r>
        <w:t xml:space="preserve">a </w:t>
      </w:r>
      <w:r w:rsidRPr="0036748B">
        <w:t xml:space="preserve">standalone model for monthly streamflow. At a broader system level, </w:t>
      </w:r>
      <w:r>
        <w:fldChar w:fldCharType="begin"/>
      </w:r>
      <w:r>
        <w:instrText xml:space="preserve"> ADDIN ZOTERO_ITEM CSL_CITATION {"citationID":"85N38EUJ","properties":{"unsorted":false,"formattedCitation":"[13]","plainCitation":"[13]","noteIndex":0},"citationItems":[{"id":1,"uris":["http://zotero.org/users/12010463/items/DHASGC6N"],"itemData":{"id":1,"type":"paper-conference","container-title":"IAHS-AISH publication","event-title":"Water in Celtic countries (quantity, quality and climate variability, 4-11 July 2005, Guimaraes)","ISBN":"978-1-901502-88-6","ISSN":"0144-7815,","language":"en","page":"23-36","source":"pascal-francis.inist.fr","title":"Hydroinformatics support to flood forecasting and flood management","URL":"http://pascal-francis.inist.fr/vibad/index.php?action=getRecordDetail&amp;idt=18901221","author":[{"family":"Verwey","given":"Adri"}],"accessed":{"date-parts":[["2026",8,10]]},"issued":{"date-parts":[["2007"]]}}}],"schema":"https://github.com/citation-style-language/schema/raw/master/csl-citation.json"} </w:instrText>
      </w:r>
      <w:r>
        <w:fldChar w:fldCharType="separate"/>
      </w:r>
      <w:r w:rsidRPr="000A122D">
        <w:rPr>
          <w:rFonts w:cs="Times New Roman"/>
        </w:rPr>
        <w:t>[13]</w:t>
      </w:r>
      <w:r>
        <w:fldChar w:fldCharType="end"/>
      </w:r>
      <w:r>
        <w:t xml:space="preserve"> </w:t>
      </w:r>
      <w:r w:rsidRPr="0036748B">
        <w:t>surveys how such data-driven components (ANN, GP-derived empirical relationships) are increasingly embedded within operational flood-forecasting platforms (e.g., Delft-FEWS) alongside data assimilation techniques such as ensemble Kalman filtering, situating individual forecasting models within end-to-end hydroinformatics pipelines rather than as isolated benchmarks.</w:t>
      </w:r>
    </w:p>
    <w:p w14:paraId="1EE58B66" w14:textId="600E7FF0" w:rsidR="00DA06C6" w:rsidRPr="00DA06C6" w:rsidRDefault="00DA06C6" w:rsidP="00DA06C6">
      <w:pPr>
        <w:pStyle w:val="Heading2"/>
        <w:numPr>
          <w:ilvl w:val="1"/>
          <w:numId w:val="1"/>
        </w:numPr>
      </w:pPr>
      <w:r w:rsidRPr="00DA06C6">
        <w:t>Research Gap, Questions, and Contributions</w:t>
      </w:r>
    </w:p>
    <w:p w14:paraId="209E56BB" w14:textId="24B58994" w:rsidR="00DA06C6" w:rsidRPr="00BD2CE0" w:rsidRDefault="00DA06C6" w:rsidP="172EAE36">
      <w:r>
        <w:t xml:space="preserve">Collectively, these studies demonstrate the value of semantic data infrastructures for integrating heterogeneous observations and the effectiveness of statistical, machine-learning, and deep-learning models for hydrological forecasting. However, the two concerns are generally treated separately in the literature reviewed here. Furthermore, most forecasting studies focus on streamflow or rainfall–runoff processes rather than the propagation of </w:t>
      </w:r>
      <w:r w:rsidR="38A8F111">
        <w:t xml:space="preserve">measurement </w:t>
      </w:r>
      <w:r>
        <w:t xml:space="preserve">variations </w:t>
      </w:r>
      <w:r>
        <w:lastRenderedPageBreak/>
        <w:t xml:space="preserve">through a spatially distributed monitoring network. The combined use of semantically unified cross-border sensor observations and physically constrained lead–lag relationships for </w:t>
      </w:r>
      <w:r w:rsidR="6A8ECF76">
        <w:t>forecasting at</w:t>
      </w:r>
      <w:r>
        <w:t xml:space="preserve"> a</w:t>
      </w:r>
      <w:r w:rsidR="1601994C">
        <w:t xml:space="preserve"> target</w:t>
      </w:r>
      <w:r>
        <w:t xml:space="preserve"> site therefore remains insufficiently examined. This gap motivates the following research questions.</w:t>
      </w:r>
    </w:p>
    <w:p w14:paraId="75721A9F" w14:textId="77777777" w:rsidR="00DA06C6" w:rsidRDefault="00DA06C6" w:rsidP="00DA06C6">
      <w:r w:rsidRPr="00DE788E">
        <w:t>This study investigates how heterogeneous cross-border water-quality observations can be integrated and used to understand and forecast salinity dynamics in the G</w:t>
      </w:r>
      <w:r>
        <w:t>h</w:t>
      </w:r>
      <w:r w:rsidRPr="00DE788E">
        <w:t>ent–Terneuzen Canal. The research is guided by the following overarching question:</w:t>
      </w:r>
    </w:p>
    <w:p w14:paraId="2B6012A6" w14:textId="77777777" w:rsidR="00DA06C6" w:rsidRDefault="00DA06C6" w:rsidP="00DA06C6">
      <w:pPr>
        <w:keepLines/>
        <w:ind w:left="360" w:right="360"/>
        <w:rPr>
          <w:i/>
        </w:rPr>
      </w:pPr>
      <w:r>
        <w:rPr>
          <w:i/>
        </w:rPr>
        <w:t>How can semantically integrated observations from spatially distributed sensors be used to characterize salt intrusion and improve short-term conductivity forecasting at an industrial site in Ghent?</w:t>
      </w:r>
    </w:p>
    <w:p w14:paraId="28F07005" w14:textId="541B5E3C" w:rsidR="00DA06C6" w:rsidRPr="00DA06C6" w:rsidRDefault="00DA06C6" w:rsidP="00DA06C6">
      <w:pPr>
        <w:pStyle w:val="ListParagraph"/>
        <w:keepLines/>
        <w:numPr>
          <w:ilvl w:val="0"/>
          <w:numId w:val="6"/>
        </w:numPr>
        <w:ind w:right="360"/>
        <w:rPr>
          <w:iCs/>
        </w:rPr>
      </w:pPr>
      <w:r w:rsidRPr="00DA06C6">
        <w:rPr>
          <w:iCs/>
        </w:rPr>
        <w:t>RQ1 Data integration</w:t>
      </w:r>
    </w:p>
    <w:p w14:paraId="59117EB9" w14:textId="77777777" w:rsidR="00DA06C6" w:rsidRDefault="00DA06C6" w:rsidP="00DA06C6">
      <w:r>
        <w:t>To what extent can Linked Data technologies provide interoperable and unified access to heterogeneous conductivity observations from multiple data providers while preserving their sensor identities, measurement units, temporal information, spatial context, and data provenance?</w:t>
      </w:r>
    </w:p>
    <w:p w14:paraId="5591A5A5" w14:textId="08A3C2CB" w:rsidR="00DA06C6" w:rsidRDefault="00DA06C6" w:rsidP="00DA06C6">
      <w:pPr>
        <w:pStyle w:val="ListParagraph"/>
        <w:numPr>
          <w:ilvl w:val="0"/>
          <w:numId w:val="6"/>
        </w:numPr>
      </w:pPr>
      <w:r w:rsidRPr="00DA06C6">
        <w:t>RQ2 Salinity propagation</w:t>
      </w:r>
    </w:p>
    <w:p w14:paraId="795A17D3" w14:textId="77777777" w:rsidR="00DA06C6" w:rsidRDefault="00DA06C6" w:rsidP="00DA06C6">
      <w:r w:rsidRPr="00EF6820">
        <w:t>What spatiotemporal patterns characterize the inland propagation of conductivity variations from Terneuzen through the intermediate monitoring locations toward Ghent, and to what extent can physically constrained lead–lag relationships between the distributed sensors describe and predict the arrival of these variations at the industrial target site?</w:t>
      </w:r>
    </w:p>
    <w:p w14:paraId="08348014" w14:textId="61B75BFD" w:rsidR="00DA06C6" w:rsidRDefault="00DA06C6" w:rsidP="00DA06C6">
      <w:pPr>
        <w:pStyle w:val="ListParagraph"/>
        <w:numPr>
          <w:ilvl w:val="0"/>
          <w:numId w:val="6"/>
        </w:numPr>
      </w:pPr>
      <w:r w:rsidRPr="00DA06C6">
        <w:t>RQ3 Conductivity forecasting</w:t>
      </w:r>
    </w:p>
    <w:p w14:paraId="0FDCB37B" w14:textId="77777777" w:rsidR="00DA06C6" w:rsidRDefault="00DA06C6" w:rsidP="00DA06C6">
      <w:r>
        <w:t>Which forecasting strategies and feature configurations provide the most accurate and operationally useful short-term conductivity forecasts at Ghent’s industrial sites, and to what extent do lagged observations from spatially distributed sensors improve performance compared with forecasts based only on measurements at the target site?</w:t>
      </w:r>
    </w:p>
    <w:p w14:paraId="6A3D4B2B" w14:textId="631ED79E" w:rsidR="00DA06C6" w:rsidRDefault="00DA06C6" w:rsidP="00DA06C6">
      <w:pPr>
        <w:pStyle w:val="Heading3"/>
        <w:numPr>
          <w:ilvl w:val="2"/>
          <w:numId w:val="1"/>
        </w:numPr>
      </w:pPr>
      <w:r>
        <w:t>Contributions</w:t>
      </w:r>
    </w:p>
    <w:p w14:paraId="274C8892" w14:textId="2EF088BA" w:rsidR="00DA06C6" w:rsidRDefault="00DA06C6" w:rsidP="00DA06C6">
      <w:r>
        <w:t>This study makes three contributions. First, it demonstrates the semantic integration of heterogeneous conductivity observations supplied by multiple c</w:t>
      </w:r>
      <w:r w:rsidR="5A7F4149">
        <w:t>r</w:t>
      </w:r>
      <w:r>
        <w:t>oss-border data providers. Second, it characterizes the spatiotemporal propagation of conductivity variations through physically constrained lead-lag analysis across a distributed sensor network. Third, it evaluates whether these multi-sensor relationships improve short-term conductivity forecasting at an industrial target compared with target-only forecasting.</w:t>
      </w:r>
    </w:p>
    <w:p w14:paraId="67E8E6B4" w14:textId="670C8664" w:rsidR="00DA06C6" w:rsidRPr="00DA06C6" w:rsidRDefault="006317A8" w:rsidP="006317A8">
      <w:pPr>
        <w:pStyle w:val="Heading1"/>
      </w:pPr>
      <w:r w:rsidRPr="006317A8">
        <w:lastRenderedPageBreak/>
        <w:t>Semantic Infrastructure</w:t>
      </w:r>
    </w:p>
    <w:p w14:paraId="337C759F" w14:textId="64338178" w:rsidR="006317A8" w:rsidRDefault="006317A8" w:rsidP="006317A8">
      <w:r>
        <w:t xml:space="preserve">The conductivity observations used in this study originate from independently managed data sources with different access mechanisms and tabular structures. The four public monitoring series are retrieved from </w:t>
      </w:r>
      <w:commentRangeStart w:id="4"/>
      <w:r>
        <w:t>Vlaamse Milieumaatschappij</w:t>
      </w:r>
      <w:commentRangeEnd w:id="4"/>
      <w:r>
        <w:rPr>
          <w:rStyle w:val="CommentReference"/>
          <w:sz w:val="24"/>
          <w:szCs w:val="24"/>
        </w:rPr>
        <w:commentReference w:id="4"/>
      </w:r>
      <w:r>
        <w:t xml:space="preserve"> </w:t>
      </w:r>
      <w:r>
        <w:fldChar w:fldCharType="begin"/>
      </w:r>
      <w:r>
        <w:instrText xml:space="preserve"> ADDIN ZOTERO_ITEM CSL_CITATION {"citationID":"LQXIHfTx","properties":{"unsorted":false,"formattedCitation":"[14]","plainCitation":"[14]","noteIndex":0},"citationItems":[{"id":891,"uris":["http://zotero.org/users/12010463/items/RLYWB5K2"],"itemData":{"id":891,"type":"webpage","abstract":"Beschrijving VMM","language":"en","title":"Vlaamse Milieumaatschappij","URL":"https://vmm.vlaanderen.be","accessed":{"date-parts":[["2026",8,12]]},"issued":{"date-parts":[["2026",8,5]]}}}],"schema":"https://github.com/citation-style-language/schema/raw/master/csl-citation.json"} </w:instrText>
      </w:r>
      <w:r>
        <w:fldChar w:fldCharType="separate"/>
      </w:r>
      <w:r w:rsidRPr="172EAE36">
        <w:rPr>
          <w:rFonts w:cs="Times New Roman"/>
        </w:rPr>
        <w:t>[14]</w:t>
      </w:r>
      <w:r>
        <w:fldChar w:fldCharType="end"/>
      </w:r>
      <w:r w:rsidR="2939F3CD">
        <w:t xml:space="preserve">, </w:t>
      </w:r>
      <w:r>
        <w:t>the</w:t>
      </w:r>
      <w:r w:rsidR="0223E0B2">
        <w:t xml:space="preserve"> </w:t>
      </w:r>
      <w:commentRangeStart w:id="5"/>
      <w:r w:rsidR="49B44748">
        <w:t>Belgian</w:t>
      </w:r>
      <w:r>
        <w:t xml:space="preserve"> Hydrological Information Centre</w:t>
      </w:r>
      <w:commentRangeEnd w:id="5"/>
      <w:r>
        <w:rPr>
          <w:rStyle w:val="CommentReference"/>
          <w:sz w:val="24"/>
          <w:szCs w:val="24"/>
        </w:rPr>
        <w:commentReference w:id="5"/>
      </w:r>
      <w:r w:rsidR="6B38FA0A">
        <w:t>, and the Ministry of Infrastructure and Water Management in the Netherlands</w:t>
      </w:r>
      <w:r>
        <w:t>. The industrial target measurements are provided by an industrial partner. Directly combining these representations would require downstream applications to retain provider-specific parsing and interpretation logic. The ingestion pipeline therefore separates source preparation from semantic transformation. Each source is mapped to a common RDF observation model.</w:t>
      </w:r>
    </w:p>
    <w:p w14:paraId="05F63048" w14:textId="6A05D8FE" w:rsidR="00DA06C6" w:rsidRDefault="009239BA" w:rsidP="009239BA">
      <w:pPr>
        <w:pStyle w:val="Heading2"/>
        <w:numPr>
          <w:ilvl w:val="1"/>
          <w:numId w:val="1"/>
        </w:numPr>
      </w:pPr>
      <w:commentRangeStart w:id="6"/>
      <w:commentRangeStart w:id="7"/>
      <w:r>
        <w:t>Declarative transformation using RML</w:t>
      </w:r>
      <w:commentRangeEnd w:id="7"/>
      <w:r>
        <w:rPr>
          <w:rStyle w:val="CommentReference"/>
          <w:sz w:val="32"/>
          <w:szCs w:val="32"/>
        </w:rPr>
        <w:commentReference w:id="7"/>
      </w:r>
      <w:commentRangeEnd w:id="6"/>
      <w:r>
        <w:rPr>
          <w:rStyle w:val="CommentReference"/>
          <w:sz w:val="32"/>
          <w:szCs w:val="32"/>
        </w:rPr>
        <w:commentReference w:id="6"/>
      </w:r>
    </w:p>
    <w:p w14:paraId="59BE0387" w14:textId="6FFC8D08" w:rsidR="009239BA" w:rsidRDefault="009239BA" w:rsidP="009239BA">
      <w:r>
        <w:t xml:space="preserve">Data is transformed into RDF using the RDF Mapping Language (RML). </w:t>
      </w:r>
      <w:r w:rsidRPr="172EAE36">
        <w:rPr>
          <w:strike/>
        </w:rPr>
        <w:t>RML extends the R2RML mapping model beyond relational databases and provides declarative rules for mapping heterogeneous data structures to RDF</w:t>
      </w:r>
      <w:r>
        <w:t xml:space="preserve"> </w:t>
      </w:r>
      <w:r>
        <w:fldChar w:fldCharType="begin"/>
      </w:r>
      <w:r>
        <w:instrText xml:space="preserve"> ADDIN ZOTERO_ITEM CSL_CITATION {"citationID":"2f5eaTVl","properties":{"unsorted":false,"formattedCitation":"[15]","plainCitation":"[15]","noteIndex":0},"citationItems":[{"id":880,"uris":["http://zotero.org/users/12010463/items/Z7FVX7E5"],"itemData":{"id":880,"type":"paper-conference","abstract":"Despite the signicant number of existing tools, incorporating data from multiple sources and dierent formats into the Linked Open Data cloud remains complicated. No mapping formalisation exists to dene how to map such heterogeneous sources into rdf in an integrated and interoperable fashion. This paper introduces the rml mapping language, a generic language based on an extension over r2rml, the w3c standard for mapping relational databases into rdf. Broadening r2rml’s scope, the language becomes source-agnostic and extensible, while facilitating the denition of mappings of multiple heterogeneous sources. This leads to higher integrity within datasets and richer interlinking among resources.","event-title":"LDOW","source":"Semantic Scholar","title":"RML: A Generic Language for Integrated RDF Mappings of Heterogeneous Data","title-short":"RML","URL":"https://www.semanticscholar.org/paper/RML%3A-A-Generic-Language-for-Integrated-RDF-Mappings-Dimou-Sande/f0b98c4fc3a542a83349666f4073359ed56d1a17","author":[{"family":"Dimou","given":"Anastasia"},{"family":"Sande","given":"M. V."},{"family":"Colpaert","given":"Pieter"},{"family":"Verborgh","given":"R."},{"family":"Mannens","given":"E."},{"family":"Walle","given":"R."}],"accessed":{"date-parts":[["2026",8,12]]},"issued":{"date-parts":[["2014"]]}}}],"schema":"https://github.com/citation-style-language/schema/raw/master/csl-citation.json"} </w:instrText>
      </w:r>
      <w:r>
        <w:fldChar w:fldCharType="separate"/>
      </w:r>
      <w:r w:rsidRPr="172EAE36">
        <w:rPr>
          <w:rFonts w:ascii="Aptos" w:hAnsi="Aptos"/>
        </w:rPr>
        <w:t>[15]</w:t>
      </w:r>
      <w:r>
        <w:fldChar w:fldCharType="end"/>
      </w:r>
      <w:r>
        <w:t>. An RML mapping is organized around a triples map comprising a logical source, a subject map, and one or more predicate-object maps. In this study, separate mappings are generated for each data source because their column names and sensor-identification mechanisms differ. Nevertheless, mappings produce the same semantic observation structure resulting in a unified knowledge graph.</w:t>
      </w:r>
    </w:p>
    <w:p w14:paraId="699A2A3B" w14:textId="77777777" w:rsidR="009239BA" w:rsidRDefault="009239BA" w:rsidP="009239BA">
      <w:r w:rsidRPr="00CE094E">
        <w:t xml:space="preserve">A subject template generates a distinct IRI for every observation. </w:t>
      </w:r>
      <w:r>
        <w:t>T</w:t>
      </w:r>
      <w:r w:rsidRPr="00CE094E">
        <w:t>he observation IRI combines the time-series identifier with the Unix timestamp. Th</w:t>
      </w:r>
      <w:r>
        <w:t>is</w:t>
      </w:r>
      <w:r w:rsidRPr="00CE094E">
        <w:t xml:space="preserve"> template provide</w:t>
      </w:r>
      <w:r>
        <w:t>s</w:t>
      </w:r>
      <w:r w:rsidRPr="00CE094E">
        <w:t xml:space="preserve"> stable identifiers for measurements while preventing collisions between readings from different sensors or times.</w:t>
      </w:r>
    </w:p>
    <w:p w14:paraId="5A53119E" w14:textId="1340711B" w:rsidR="009239BA" w:rsidRDefault="009239BA" w:rsidP="009239BA">
      <w:r w:rsidRPr="00CE094E">
        <w:t xml:space="preserve">Each generated resource is typed as a </w:t>
      </w:r>
      <w:r w:rsidRPr="00CE094E">
        <w:rPr>
          <w:i/>
          <w:iCs/>
        </w:rPr>
        <w:t>sosa:Observation</w:t>
      </w:r>
      <w:r w:rsidRPr="00CE094E">
        <w:t xml:space="preserve">. The mapping connects the observation to its sensor through </w:t>
      </w:r>
      <w:r w:rsidRPr="00CE094E">
        <w:rPr>
          <w:i/>
          <w:iCs/>
        </w:rPr>
        <w:t>sosa:madeBySensor</w:t>
      </w:r>
      <w:r w:rsidRPr="00CE094E">
        <w:t xml:space="preserve">, records its timestamp through </w:t>
      </w:r>
      <w:r w:rsidRPr="00CE094E">
        <w:rPr>
          <w:i/>
          <w:iCs/>
        </w:rPr>
        <w:t>sosa:resultTime</w:t>
      </w:r>
      <w:r w:rsidRPr="00CE094E">
        <w:t xml:space="preserve">, and represents its numerical conductivity value through </w:t>
      </w:r>
      <w:r w:rsidRPr="00CE094E">
        <w:rPr>
          <w:i/>
          <w:iCs/>
        </w:rPr>
        <w:t>sosa:hasSimpleResult</w:t>
      </w:r>
      <w:r w:rsidRPr="00CE094E">
        <w:t xml:space="preserve">. The result time is explicitly typed as </w:t>
      </w:r>
      <w:r w:rsidRPr="00CE094E">
        <w:rPr>
          <w:i/>
          <w:iCs/>
        </w:rPr>
        <w:t>xsd:dateTime</w:t>
      </w:r>
      <w:r w:rsidRPr="00CE094E">
        <w:t xml:space="preserve">, while the measured value is represented as </w:t>
      </w:r>
      <w:r w:rsidRPr="00CE094E">
        <w:rPr>
          <w:i/>
          <w:iCs/>
        </w:rPr>
        <w:t>xsd:double</w:t>
      </w:r>
      <w:r w:rsidRPr="00CE094E">
        <w:t>. The use of SOSA provides a common representation for sensors and their observations independent of the original provider structure</w:t>
      </w:r>
      <w:r>
        <w:t xml:space="preserve"> </w:t>
      </w:r>
      <w:r>
        <w:fldChar w:fldCharType="begin"/>
      </w:r>
      <w:r>
        <w:instrText xml:space="preserve"> ADDIN ZOTERO_ITEM CSL_CITATION {"citationID":"rpfOOO51","properties":{"unsorted":false,"formattedCitation":"[16]","plainCitation":"[16]","noteIndex":0},"citationItems":[{"id":884,"uris":["http://zotero.org/users/12010463/items/2DJHH2XJ"],"itemData":{"id":884,"type":"article-journal","abstract":"The Sensor, Observation, Sample, and Actuator (SOSA) ontology provides a formal but lightweight general-purpose specification for modellingthe interaction between the entities involved in the acts of observation, actuation, and sampling. SOSA is the result of rethinking the W3C-XG Semantic Sensor Network (SSN) ontology based on changes in scope and target audience, technical developments, and lessons learned over the past years. SOSA also acts as a replacement of SSN’s Stimulus Sensor Observation (SSO) core. It has been developed by the first joint working group of the Open Geospatial Consortium (OGC) and the World Wide Web Consortium (W3C) on Spatial Data on the Web. In this work, we motivate the need for SOSA, provide an overview of the main classes and properties, and briefly discuss its integration with the new release of the SSN ontology as well as various other alignments to specifications such as OGC’s Observations and Measurements (O&amp;M), Dolce-Ultralite (DUL), and other prominent ontologies. We will also touch upon common modelling problems and application areas related to publishing and searching observation, sampling, and actuation data on the Web. The SOSA ontology and standard can be accessed at https://www.w3.org/TR/vocab-ssn/.","container-title":"Journal of Web Semantics","DOI":"10.1016/j.websem.2018.06.003","ISSN":"1570-8268","journalAbbreviation":"Journal of Web Semantics","page":"1-10","source":"ScienceDirect","title":"SOSA: A lightweight ontology for sensors, observations, samples, and actuators","title-short":"SOSA","volume":"56","author":[{"family":"Janowicz","given":"Krzysztof"},{"family":"Haller","given":"Armin"},{"family":"Cox","given":"Simon J. D."},{"family":"Le Phuoc","given":"Danh"},{"family":"Lefrançois","given":"Maxime"}],"issued":{"date-parts":[["2019",5,1]]}}}],"schema":"https://github.com/citation-style-language/schema/raw/master/csl-citation.json"} </w:instrText>
      </w:r>
      <w:r>
        <w:fldChar w:fldCharType="separate"/>
      </w:r>
      <w:r w:rsidRPr="009239BA">
        <w:rPr>
          <w:rFonts w:cs="Times New Roman"/>
        </w:rPr>
        <w:t>[16]</w:t>
      </w:r>
      <w:r>
        <w:fldChar w:fldCharType="end"/>
      </w:r>
      <w:r w:rsidRPr="00CE094E">
        <w:t>.</w:t>
      </w:r>
    </w:p>
    <w:p w14:paraId="3FD7C1BA" w14:textId="2A1085D5" w:rsidR="009239BA" w:rsidRDefault="009239BA" w:rsidP="009239BA">
      <w:r w:rsidRPr="00356F91">
        <w:t xml:space="preserve">The measured phenomenon is identified as </w:t>
      </w:r>
      <w:r w:rsidRPr="00CE3966">
        <w:rPr>
          <w:i/>
          <w:iCs/>
        </w:rPr>
        <w:t>quantitykind:ElectricConductivity</w:t>
      </w:r>
      <w:r w:rsidRPr="00356F91">
        <w:t xml:space="preserve">, and the measurement unit is expressed using </w:t>
      </w:r>
      <w:r w:rsidRPr="00CE3966">
        <w:rPr>
          <w:i/>
          <w:iCs/>
        </w:rPr>
        <w:t>qudt:hasUnit</w:t>
      </w:r>
      <w:r w:rsidRPr="00356F91">
        <w:t>. QUDT</w:t>
      </w:r>
      <w:r>
        <w:t xml:space="preserve"> </w:t>
      </w:r>
      <w:r>
        <w:fldChar w:fldCharType="begin"/>
      </w:r>
      <w:r>
        <w:instrText xml:space="preserve"> ADDIN ZOTERO_ITEM CSL_CITATION {"citationID":"S74Di8Y6","properties":{"unsorted":false,"formattedCitation":"[17]","plainCitation":"[17]","noteIndex":0},"citationItems":[{"id":887,"uris":["http://zotero.org/users/12010463/items/BHLAJ48B"],"itemData":{"id":887,"type":"webpage","abstract":"The QUDT, or 'Quantity, Unit, Dimension and Type' collection of ontologies define the base classes properties, and restrictions used for modeling physical quantities, units of measure, and their dimensions in various measurement systems. QUDT provides a unified model of measurable quantities, units for measuring different kinds of quantities, the numerical values of quantities in different units of measure and the data structures and data types used to store and manipulate these objects in software. This schema, expressed in both SHACL and OWL, is a foundation for a basic treatment of units. Originally developed by TopQuadrant for the NASA Exploration Initiatives Ontology Models (NExIOM) project, they now form the basis of the NASA QUDT Handbook. QUDT aims to improve interoperability of data and the specification of information structures through industry standards for Units of Measure, Quantity Kinds, Dimensions and Data Types.","language":"en","title":"Quantities, Units, Dimensions and Types | FAIRsharing","URL":"https://fairsharing.org/10.25504/FAIRsharing.d3pqw7","accessed":{"date-parts":[["2026",8,12]]}}}],"schema":"https://github.com/citation-style-language/schema/raw/master/csl-citation.json"} </w:instrText>
      </w:r>
      <w:r>
        <w:fldChar w:fldCharType="separate"/>
      </w:r>
      <w:r w:rsidRPr="009239BA">
        <w:rPr>
          <w:rFonts w:cs="Times New Roman"/>
        </w:rPr>
        <w:t>[17]</w:t>
      </w:r>
      <w:r>
        <w:fldChar w:fldCharType="end"/>
      </w:r>
      <w:r w:rsidRPr="00356F91">
        <w:t xml:space="preserve"> supplies machine-readable identifiers and conversion metadata for quantities and units, including micro-Siemens per </w:t>
      </w:r>
      <w:r w:rsidR="00B901BA" w:rsidRPr="00356F91">
        <w:t>centimeter</w:t>
      </w:r>
      <w:r w:rsidRPr="00356F91">
        <w:t xml:space="preserve"> and milli-Siemens per </w:t>
      </w:r>
      <w:r w:rsidR="00B901BA" w:rsidRPr="00356F91">
        <w:t>centimeter</w:t>
      </w:r>
      <w:r w:rsidRPr="00356F91">
        <w:t xml:space="preserve"> as applicable units for electrical conductivity. Provider identity remains visible through distinct sensor namespaces. Thus, observations can be queried uniformly without losing the sensor-level distinction between their originating systems.</w:t>
      </w:r>
    </w:p>
    <w:p w14:paraId="607D5F4D" w14:textId="45E4B8DF" w:rsidR="00B901BA" w:rsidRDefault="009239BA" w:rsidP="00B901BA">
      <w:r w:rsidRPr="00DF3933">
        <w:t>The mapper materializes the resulting graph as Turtle RDF. Compared with transformation logic embedded entirely in procedural code, the declarative mappings make the correspondence between source fields and RDF properties explicit, inspectable, and reusable. They also isolate source-dependent column references from the shared semantic model.</w:t>
      </w:r>
    </w:p>
    <w:p w14:paraId="1672E50F" w14:textId="77777777" w:rsidR="00B901BA" w:rsidRPr="00B901BA" w:rsidRDefault="00B901BA" w:rsidP="00B901BA">
      <w:pPr>
        <w:pStyle w:val="Heading2"/>
        <w:numPr>
          <w:ilvl w:val="1"/>
          <w:numId w:val="1"/>
        </w:numPr>
      </w:pPr>
      <w:r w:rsidRPr="00B901BA">
        <w:lastRenderedPageBreak/>
        <w:t>Automated Qudt-Based Unit Normalization</w:t>
      </w:r>
    </w:p>
    <w:p w14:paraId="5DE4F779" w14:textId="77777777" w:rsidR="00B901BA" w:rsidRDefault="00B901BA" w:rsidP="00B901BA">
      <w:r w:rsidRPr="002404F5">
        <w:t>Although RML transforms the heterogeneous source records into a common RDF structure, structural harmonization alone does not make the observations numerically comparable. The contributing systems express electrical conductivity using different units, principally micro-Siemens per centimeter (µS/cm) and milli-Siemens per centimeter (mS/cm). Combining their numerical values without accounting for these units would produce apparent differences of three orders of magnitude and would consequently distort the spatial analysis and forecasting models.</w:t>
      </w:r>
    </w:p>
    <w:p w14:paraId="33F6D272" w14:textId="7F6A4DB8" w:rsidR="00B901BA" w:rsidRDefault="00B901BA" w:rsidP="000C3EDE">
      <w:r>
        <w:t>Each observation retains an explicit unit through qudt:hasUnit, while its measured quantity is identified as quantitykind:ElectricConductivity. The normalization procedure traverses the materialized graph and identifies every sosa:Observation containing a sosa:hasSimpleResult. For each observation, the procedure retrieves the source unit and its QUDT conversion multiplier and offset</w:t>
      </w:r>
      <w:r w:rsidR="000C3EDE">
        <w:t xml:space="preserve"> </w:t>
      </w:r>
      <w:r w:rsidR="000C3EDE">
        <w:fldChar w:fldCharType="begin"/>
      </w:r>
      <w:r w:rsidR="000C3EDE">
        <w:instrText xml:space="preserve"> ADDIN ZOTERO_ITEM CSL_CITATION {"citationID":"9eNcIFNb","properties":{"unsorted":false,"formattedCitation":"[18]","plainCitation":"[18]","noteIndex":0},"citationItems":[{"id":895,"uris":["http://zotero.org/users/12010463/items/722WC6G3"],"itemData":{"id":895,"type":"paper-conference","abstract":"Processing quantity values in industry applications is often arduous and costly due to different systems of units and countless naming and formatting conventions. As semantic technology promises to alleviate the situation, we consider using existing ontologies of units of measure to improve data processing capabilities of a cloud-based semantic platform for operating digital twins of real industry assets. We analyse two well-known ontologies: OM, the Ontology of units of Measure, and QUDT, the Quantities, Units, Dimensions and Types ontology. These ontologies are excellent resources, but do not meet all our requirements. We discuss suitable modelling choices for representing quantities, dimensions and units of measure and we outline the process we followed to adapt relevant definitions from OM and QUDT into a new ontology of units of measure that better meets our needs. Compared with the alternative of manually creating the ontology from scratch, the development and maintenance costs and duration were reduced significantly. We believe this approach will achieve similar benefits in other ontology engineering efforts.","container-title":"The Semantic Web – ISWC 2020","DOI":"10.1007/978-3-030-62466-8_34","ISBN":"978-3-030-62466-8","language":"en","page":"551-567","publisher":"Springer International Publishing","publisher-place":"Cham","source":"Springer Link","title":"Revisiting Ontologies of Units of Measure for Harmonising Quantity Values – A Use Case","author":[{"family":"Martín-Recuerda","given":"Francisco"},{"family":"Walther","given":"Dirk"},{"family":"Eisinger","given":"Siegfried"},{"family":"Moore","given":"Graham"},{"family":"Andersen","given":"Petter"},{"family":"Opdahl","given":"Per-Olav"},{"family":"Hella","given":"Lillian"}],"editor":[{"family":"Pan","given":"Jeff Z."},{"family":"Tamma","given":"Valentina"},{"family":"Amato","given":"Claudia","non-dropping-particle":"d’"},{"family":"Janowicz","given":"Krzysztof"},{"family":"Fu","given":"Bo"},{"family":"Polleres","given":"Axel"},{"family":"Seneviratne","given":"Oshani"},{"family":"Kagal","given":"Lalana"}],"issued":{"date-parts":[["2020"]]}}}],"schema":"https://github.com/citation-style-language/schema/raw/master/csl-citation.json"} </w:instrText>
      </w:r>
      <w:r w:rsidR="000C3EDE">
        <w:fldChar w:fldCharType="separate"/>
      </w:r>
      <w:r w:rsidR="000C3EDE" w:rsidRPr="000C3EDE">
        <w:rPr>
          <w:rFonts w:cs="Times New Roman"/>
        </w:rPr>
        <w:t>[18]</w:t>
      </w:r>
      <w:r w:rsidR="000C3EDE">
        <w:fldChar w:fldCharType="end"/>
      </w:r>
      <w:r>
        <w:t>. All values are converted through the common SI reference unit associated with the QUDT unit definition. Given a source value vₛ, source multiplier mₛ, source offset bₛ, target multiplier mₜ, and target offset bₜ, the conversion is defined as:</w:t>
      </w:r>
    </w:p>
    <w:p w14:paraId="1EF43210" w14:textId="77777777" w:rsidR="00B901BA" w:rsidRDefault="002D0CDD" w:rsidP="00B901BA">
      <m:oMathPara>
        <m:oMath>
          <m:sSub>
            <m:sSubPr>
              <m:ctrlPr>
                <w:rPr>
                  <w:rFonts w:ascii="Cambria Math" w:hAnsi="Cambria Math"/>
                  <w:i/>
                </w:rPr>
              </m:ctrlPr>
            </m:sSubPr>
            <m:e>
              <m:r>
                <w:rPr>
                  <w:rFonts w:ascii="Cambria Math" w:hAnsi="Cambria Math"/>
                </w:rPr>
                <m:t>V</m:t>
              </m:r>
            </m:e>
            <m:sub>
              <m:r>
                <w:rPr>
                  <w:rFonts w:ascii="Cambria Math" w:hAnsi="Cambria Math"/>
                </w:rPr>
                <m:t>SI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m:t>
              </m:r>
            </m:sub>
          </m:sSub>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s</m:t>
              </m:r>
            </m:sub>
          </m:sSub>
        </m:oMath>
      </m:oMathPara>
    </w:p>
    <w:p w14:paraId="5BF9BA74" w14:textId="6BCDED69" w:rsidR="00B901BA" w:rsidRDefault="00B901BA" w:rsidP="00B901BA">
      <w:r w:rsidRPr="000379B3">
        <w:t>The intermediate SI representation prevents the implementation from relying on manually specified pairwise conversion rules for every possible combination of source and target units.</w:t>
      </w:r>
      <w:r>
        <w:t xml:space="preserve"> This automated normalization removes unit-specific conversion logic from downstream SPARQL queries and forecasting components. All sensors can consequently be compared on a common numerical scale irrespective of their original provider conventions. This is particularly important for salinity forecasting because an unnoticed unit discrepancy would influence spatial gradients, cross-correlation estimates, lag selection and model-error metrics. QUDT therefore functions not only as a vocabulary for annotating units, but also as the machine-interpretable basis for numerical interoperability across the combined observation graph.</w:t>
      </w:r>
    </w:p>
    <w:p w14:paraId="617FA5FA" w14:textId="54DBE993" w:rsidR="009239BA" w:rsidRDefault="009239BA" w:rsidP="009239BA">
      <w:pPr>
        <w:pStyle w:val="Heading2"/>
        <w:numPr>
          <w:ilvl w:val="1"/>
          <w:numId w:val="1"/>
        </w:numPr>
      </w:pPr>
      <w:commentRangeStart w:id="8"/>
      <w:r>
        <w:t>Validation</w:t>
      </w:r>
      <w:commentRangeEnd w:id="8"/>
      <w:r>
        <w:rPr>
          <w:rStyle w:val="CommentReference"/>
          <w:sz w:val="32"/>
          <w:szCs w:val="32"/>
        </w:rPr>
        <w:commentReference w:id="8"/>
      </w:r>
    </w:p>
    <w:p w14:paraId="5A57BBAA" w14:textId="77777777" w:rsidR="00C25F64" w:rsidRDefault="00C25F64" w:rsidP="00C25F64">
      <w:r w:rsidRPr="00DF3933">
        <w:t>Semantic consistency requires more than assigning common property names. Conductivity values are meaningful only when their numerical units are interpreted consistently. The materialized RDF is therefore validated and normalized before publication.</w:t>
      </w:r>
    </w:p>
    <w:p w14:paraId="72C74AE9" w14:textId="69261AFC" w:rsidR="00C25F64" w:rsidRDefault="00C25F64" w:rsidP="000C3EDE">
      <w:r w:rsidRPr="00DF3933">
        <w:t>An initial SHACL</w:t>
      </w:r>
      <w:r>
        <w:t xml:space="preserve"> </w:t>
      </w:r>
      <w:r>
        <w:fldChar w:fldCharType="begin"/>
      </w:r>
      <w:r w:rsidR="000C3EDE">
        <w:instrText xml:space="preserve"> ADDIN ZOTERO_ITEM CSL_CITATION {"citationID":"3aAP3zSQ","properties":{"unsorted":false,"formattedCitation":"[19]","plainCitation":"[19]","noteIndex":0},"citationItems":[{"id":889,"uris":["http://zotero.org/users/12010463/items/TJGHIYNM"],"itemData":{"id":889,"type":"webpage","language":"en","title":"Shapes Constraint Language (SHACL)","URL":"https://www.w3.org/TR/shacl/","accessed":{"date-parts":[["2026",8,12]]},"issued":{"date-parts":[["2017",7,20]]}}}],"schema":"https://github.com/citation-style-language/schema/raw/master/csl-citation.json"} </w:instrText>
      </w:r>
      <w:r>
        <w:fldChar w:fldCharType="separate"/>
      </w:r>
      <w:r w:rsidR="000C3EDE" w:rsidRPr="000C3EDE">
        <w:rPr>
          <w:rFonts w:cs="Times New Roman"/>
        </w:rPr>
        <w:t>[19]</w:t>
      </w:r>
      <w:r>
        <w:fldChar w:fldCharType="end"/>
      </w:r>
      <w:r w:rsidRPr="00DF3933">
        <w:t xml:space="preserve"> validation checks every </w:t>
      </w:r>
      <w:r w:rsidRPr="00DF3933">
        <w:rPr>
          <w:i/>
          <w:iCs/>
        </w:rPr>
        <w:t>sosa:Observation</w:t>
      </w:r>
      <w:r w:rsidRPr="00DF3933">
        <w:t xml:space="preserve"> produced by the RML transformation. Each observation must contain exactly one numerical result, one sensor IRI, one observation time, one observed property, and one unit. The result time must be a valid </w:t>
      </w:r>
      <w:r w:rsidRPr="00DF3933">
        <w:rPr>
          <w:i/>
          <w:iCs/>
        </w:rPr>
        <w:t>xsd:dateTime</w:t>
      </w:r>
      <w:r w:rsidRPr="00DF3933">
        <w:t xml:space="preserve">, the result must use an accepted numerical datatype, and the observed property must be electrical conductivity. </w:t>
      </w:r>
    </w:p>
    <w:p w14:paraId="5EF44EC8" w14:textId="6E65695B" w:rsidR="00C25F64" w:rsidRDefault="001D4D5B" w:rsidP="001D4D5B">
      <w:pPr>
        <w:pStyle w:val="Heading1"/>
      </w:pPr>
      <w:r>
        <w:lastRenderedPageBreak/>
        <w:t>Methodology</w:t>
      </w:r>
    </w:p>
    <w:p w14:paraId="7B2CF20A" w14:textId="77777777" w:rsidR="001D4D5B" w:rsidRDefault="001D4D5B" w:rsidP="001D4D5B">
      <w:r>
        <w:t>All forecasting techniques were evaluated through a single experimental contract. Data acquisition, unit normalization, temporal preprocessing, chronological splitting, window construction, target scaling and evaluation were therefore performed once and reused unchanged by every model. This design prevents differences in preprocessing or test-window selection from being mistaken for differences in model capability. The following subsections first describe this shared procedure and then report only the elements unique to each learning technique.</w:t>
      </w:r>
    </w:p>
    <w:p w14:paraId="4668FA25" w14:textId="357F8F61" w:rsidR="001D4D5B" w:rsidRDefault="001D4D5B" w:rsidP="001D4D5B">
      <w:pPr>
        <w:pStyle w:val="Heading2"/>
        <w:numPr>
          <w:ilvl w:val="1"/>
          <w:numId w:val="1"/>
        </w:numPr>
      </w:pPr>
      <w:r w:rsidRPr="001D4D5B">
        <w:t>Shared Data Source and Preprocessing</w:t>
      </w:r>
    </w:p>
    <w:p w14:paraId="14700E72" w14:textId="375C954B" w:rsidR="7CDEAC2A" w:rsidRDefault="001D4D5B" w:rsidP="007E746D">
      <w:r>
        <w:t>Fi</w:t>
      </w:r>
      <w:r w:rsidR="000C3EDE">
        <w:t>ve conductivity time</w:t>
      </w:r>
      <w:r>
        <w:t xml:space="preserve"> series were used</w:t>
      </w:r>
      <w:r w:rsidR="000C3EDE">
        <w:t xml:space="preserve"> in the experiment</w:t>
      </w:r>
      <w:r>
        <w:t>: Terneuzen, Westdorpe, Gent-far, Gent-near and a target industrial site in Ghent. Industrial site conductivity was the prediction target, while the histories of all five locations formed the multivariate input. Values were normalized by the ingestion layer, allowing conductivity to be used as an operational proxy for salinity.</w:t>
      </w:r>
    </w:p>
    <w:p w14:paraId="02FA2CE6" w14:textId="3DCAB262" w:rsidR="001D4D5B" w:rsidRDefault="001D4D5B" w:rsidP="001D4D5B">
      <w:r>
        <w:t>The sensors did not have identical end dates; consequently, the multivariate table was restricted to their genuine common coverage rather than extending shorter series with artificial values. The shared coverage began on 1 January 2025 and extended to 7 October 2025, while the forecasting experiment itself used observations through September. Measurements were resampled to a regular 15-minute grid. Time interpolation was restricted to four consecutive samples, corresponding to at most one hour, and was applied only to internal gaps. Longer gaps remained missing. A causal trailing two-hour moving average (eight observations) then reduced isolated measurement noise without using future values.</w:t>
      </w:r>
    </w:p>
    <w:p w14:paraId="5FCBB8D6" w14:textId="54B05A12" w:rsidR="001D4D5B" w:rsidRPr="001D4D5B" w:rsidRDefault="001D4D5B" w:rsidP="001D4D5B">
      <w:pPr>
        <w:pStyle w:val="Heading2"/>
        <w:numPr>
          <w:ilvl w:val="1"/>
          <w:numId w:val="1"/>
        </w:numPr>
      </w:pPr>
      <w:r w:rsidRPr="001D4D5B">
        <w:t>Forecasting Task, Delta Tracking and Leakage Control</w:t>
      </w:r>
    </w:p>
    <w:p w14:paraId="1E276180" w14:textId="0C4D1279" w:rsidR="001D4D5B" w:rsidRDefault="001D4D5B" w:rsidP="001D4D5B">
      <w:r>
        <w:t xml:space="preserve">Each forecasting origin was represented by the preceding 72 hours of all five sensors, giving an input tensor of 288-time steps by five variables. The desired output was the </w:t>
      </w:r>
      <w:r w:rsidRPr="001B3EF7">
        <w:t>trajectory</w:t>
      </w:r>
      <w:r>
        <w:t xml:space="preserve"> at target industrial site: </w:t>
      </w:r>
      <w:r w:rsidR="001B3EF7">
        <w:t>n</w:t>
      </w:r>
      <w:r>
        <w:t xml:space="preserve"> quarter-hour changes relative to the latest observed target value. For lead step k, the learning target was defined as follows:</w:t>
      </w:r>
    </w:p>
    <w:p w14:paraId="67D42C76" w14:textId="054BDC0B" w:rsidR="001D4D5B" w:rsidRDefault="002D0CDD" w:rsidP="001D4D5B">
      <w:pPr>
        <w:spacing w:before="60" w:after="60"/>
        <w:jc w:val="center"/>
        <w:rPr>
          <w:rFonts w:eastAsiaTheme="minorEastAsia"/>
        </w:rPr>
      </w:pPr>
      <m:oMathPara>
        <m:oMath>
          <m:sSub>
            <m:sSubPr>
              <m:ctrlPr>
                <w:rPr>
                  <w:rFonts w:ascii="Cambria Math" w:hAnsi="Cambria Math"/>
                </w:rPr>
              </m:ctrlPr>
            </m:sSubPr>
            <m:e>
              <m:r>
                <w:rPr>
                  <w:rFonts w:ascii="Cambria Math" w:hAnsi="Cambria Math"/>
                </w:rPr>
                <m:t>Δy</m:t>
              </m:r>
            </m:e>
            <m:sub>
              <m:r>
                <w:rPr>
                  <w:rFonts w:ascii="Cambria Math" w:hAnsi="Cambria Math"/>
                </w:rPr>
                <m:t>t</m:t>
              </m:r>
              <m:r>
                <w:rPr>
                  <w:rFonts w:ascii="Cambria Math" w:hAnsi="Cambria Math"/>
                </w:rPr>
                <m:t>,</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 xml:space="preserve">,     </m:t>
          </m:r>
          <m:r>
            <w:rPr>
              <w:rFonts w:ascii="Cambria Math" w:hAnsi="Cambria Math"/>
            </w:rPr>
            <m:t>k</m:t>
          </m:r>
          <m:r>
            <m:rPr>
              <m:sty m:val="p"/>
            </m:rPr>
            <w:rPr>
              <w:rFonts w:ascii="Cambria Math" w:hAnsi="Cambria Math"/>
            </w:rPr>
            <m:t xml:space="preserve"> = 1, …, n</m:t>
          </m:r>
        </m:oMath>
      </m:oMathPara>
    </w:p>
    <w:p w14:paraId="51BA9736" w14:textId="77777777" w:rsidR="001D4D5B" w:rsidRDefault="001D4D5B" w:rsidP="001D4D5B">
      <w:r>
        <w:t>and the absolute forecast was reconstructed as follows:</w:t>
      </w:r>
    </w:p>
    <w:p w14:paraId="7E47E57B" w14:textId="77777777" w:rsidR="001D4D5B" w:rsidRDefault="002D0CDD" w:rsidP="001D4D5B">
      <w:pPr>
        <w:spacing w:before="60" w:after="6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w:rPr>
                  <w:rFonts w:ascii="Cambria Math" w:hAnsi="Cambria Math"/>
                </w:rPr>
                <m:t>+</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Δy</m:t>
                  </m:r>
                </m:e>
              </m:acc>
            </m:e>
            <m:sub>
              <m:r>
                <w:rPr>
                  <w:rFonts w:ascii="Cambria Math" w:hAnsi="Cambria Math"/>
                </w:rPr>
                <m:t>t</m:t>
              </m:r>
              <m:r>
                <w:rPr>
                  <w:rFonts w:ascii="Cambria Math" w:hAnsi="Cambria Math"/>
                </w:rPr>
                <m:t>,</m:t>
              </m:r>
              <m:r>
                <w:rPr>
                  <w:rFonts w:ascii="Cambria Math" w:hAnsi="Cambria Math"/>
                </w:rPr>
                <m:t>k</m:t>
              </m:r>
            </m:sub>
          </m:sSub>
        </m:oMath>
      </m:oMathPara>
    </w:p>
    <w:p w14:paraId="273B8AFC" w14:textId="77777777" w:rsidR="001D4D5B" w:rsidRDefault="001D4D5B" w:rsidP="001D4D5B">
      <w:r>
        <w:t>This direct multi-output formulation avoids recursive error accumulation because later lead times do not consume earlier predictions. It also establishes a natural persistence baseline: predicting zero change at every horizon is equivalent to holding the most recent industrial site value constant.</w:t>
      </w:r>
    </w:p>
    <w:p w14:paraId="324F9D38" w14:textId="77777777" w:rsidR="001D4D5B" w:rsidRDefault="001D4D5B" w:rsidP="001D4D5B">
      <w:r>
        <w:t xml:space="preserve">The delta-trajectory target was also intended to reduce the tendency of regression models to revert toward the historical conductivity level and underestimate variability during rapid transitions. Instead of learning the absolute level independently at each horizon, every estimator learned the direction and magnitude of change from the current industrial-site baseline. The complete-history </w:t>
      </w:r>
      <w:r>
        <w:lastRenderedPageBreak/>
        <w:t>models could infer local momentum directly from the preceding target sequence; in the compact 42-hour ablation described in Section 4.6, this information was summarized explicitly by trailing one-hour and two-hour target changes. Delta tracking changes the prediction representation but does not guarantee recovery of every extreme event, so its benefit was assessed against the same persistence baseline and held-out trajectories used for all models.</w:t>
      </w:r>
    </w:p>
    <w:p w14:paraId="334F459C" w14:textId="5CCB5676" w:rsidR="001D4D5B" w:rsidRDefault="001D4D5B" w:rsidP="001D4D5B">
      <w:r>
        <w:t xml:space="preserve">A candidate example was retained only when its full 72-hour history, current target and all future targets were finite. The data were split chronologically: January-July 2025 for training, August for validation and model selection, and September for held-out testing. Training origins were sampled hourly to reduce extreme redundancy, whereas validation and test origins were retained every 15 minutes. </w:t>
      </w:r>
      <w:r w:rsidRPr="00A502F9">
        <w:rPr>
          <w:strike/>
        </w:rPr>
        <w:t>The resulting shared arrays contained 4,062 training windows, 2,469 validation windows and 2,865 test windows.</w:t>
      </w:r>
      <w:r>
        <w:t xml:space="preserve"> Because neighboring validation and test forecasts overlap, these counts describe forecast origins rather than statistically independent events.</w:t>
      </w:r>
    </w:p>
    <w:p w14:paraId="032E4A77" w14:textId="05723FA2" w:rsidR="001D4D5B" w:rsidRDefault="001D4D5B" w:rsidP="001D4D5B">
      <w:r>
        <w:t xml:space="preserve">Each sensor was standardized using a mean and standard deviation estimated only from complete training-period rows. Target changes were scaled separately at each of the lead times using the corresponding training standard deviation. Validation and test data did not contribute to either transformation. </w:t>
      </w:r>
    </w:p>
    <w:p w14:paraId="4C1AA456" w14:textId="77777777" w:rsidR="001D4D5B" w:rsidRDefault="001D4D5B" w:rsidP="001D4D5B">
      <w:pPr>
        <w:pStyle w:val="Heading2"/>
        <w:numPr>
          <w:ilvl w:val="1"/>
          <w:numId w:val="1"/>
        </w:numPr>
      </w:pPr>
      <w:r w:rsidRPr="001D4D5B">
        <w:t xml:space="preserve">Common Evaluation Protocol </w:t>
      </w:r>
    </w:p>
    <w:p w14:paraId="54C4344B" w14:textId="06AB05C8" w:rsidR="001D4D5B" w:rsidRDefault="001D4D5B" w:rsidP="001D4D5B">
      <w:r>
        <w:t xml:space="preserve">Overall metrics were calculated across </w:t>
      </w:r>
      <w:r w:rsidRPr="0095417A">
        <w:rPr>
          <w:strike/>
        </w:rPr>
        <w:t>45,840</w:t>
      </w:r>
      <w:r>
        <w:t xml:space="preserve"> forecast values </w:t>
      </w:r>
      <w:r w:rsidRPr="0095417A">
        <w:rPr>
          <w:strike/>
        </w:rPr>
        <w:t>(2,865 origins multiplied by 16 lead steps),</w:t>
      </w:r>
      <w:r>
        <w:t xml:space="preserve"> and endpoint metrics were additionally reported. Performance was quantified using mean absolute error (MAE), root mean squared error (RMSE), the coefficient of determination (R2), and RMSE skill relative to persistence where positive skill indicates improvement over persistence, defined as follows:</w:t>
      </w:r>
    </w:p>
    <w:p w14:paraId="0616FC4A" w14:textId="77777777" w:rsidR="001D4D5B" w:rsidRDefault="001D4D5B" w:rsidP="001D4D5B">
      <m:oMathPara>
        <m:oMath>
          <m:r>
            <w:rPr>
              <w:rFonts w:ascii="Cambria Math" w:hAnsi="Cambria Math"/>
            </w:rPr>
            <m:t xml:space="preserve">1- </m:t>
          </m:r>
          <m:f>
            <m:fPr>
              <m:ctrlPr>
                <w:rPr>
                  <w:rFonts w:ascii="Cambria Math" w:hAnsi="Cambria Math"/>
                  <w:i/>
                </w:rPr>
              </m:ctrlPr>
            </m:fPr>
            <m:num>
              <m:sSub>
                <m:sSubPr>
                  <m:ctrlPr>
                    <w:rPr>
                      <w:rFonts w:ascii="Cambria Math" w:hAnsi="Cambria Math"/>
                      <w:i/>
                    </w:rPr>
                  </m:ctrlPr>
                </m:sSubPr>
                <m:e>
                  <m:r>
                    <w:rPr>
                      <w:rFonts w:ascii="Cambria Math" w:hAnsi="Cambria Math"/>
                    </w:rPr>
                    <m:t>RMSE</m:t>
                  </m:r>
                </m:e>
                <m:sub>
                  <m:r>
                    <w:rPr>
                      <w:rFonts w:ascii="Cambria Math" w:hAnsi="Cambria Math"/>
                    </w:rPr>
                    <m:t>model</m:t>
                  </m:r>
                </m:sub>
              </m:sSub>
            </m:num>
            <m:den>
              <m:sSub>
                <m:sSubPr>
                  <m:ctrlPr>
                    <w:rPr>
                      <w:rFonts w:ascii="Cambria Math" w:hAnsi="Cambria Math"/>
                      <w:i/>
                    </w:rPr>
                  </m:ctrlPr>
                </m:sSubPr>
                <m:e>
                  <m:r>
                    <w:rPr>
                      <w:rFonts w:ascii="Cambria Math" w:hAnsi="Cambria Math"/>
                    </w:rPr>
                    <m:t>RMSE</m:t>
                  </m:r>
                </m:e>
                <m:sub>
                  <m:r>
                    <w:rPr>
                      <w:rFonts w:ascii="Cambria Math" w:hAnsi="Cambria Math"/>
                    </w:rPr>
                    <m:t>persistence</m:t>
                  </m:r>
                </m:sub>
              </m:sSub>
            </m:den>
          </m:f>
        </m:oMath>
      </m:oMathPara>
    </w:p>
    <w:p w14:paraId="6AE53C20" w14:textId="77777777" w:rsidR="001D4D5B" w:rsidRDefault="001D4D5B" w:rsidP="001D4D5B">
      <w:pPr>
        <w:pStyle w:val="Heading2"/>
        <w:numPr>
          <w:ilvl w:val="1"/>
          <w:numId w:val="1"/>
        </w:numPr>
      </w:pPr>
      <w:r w:rsidRPr="001D4D5B">
        <w:t xml:space="preserve">Exploratory Spatial-Temporal Lag Analysis </w:t>
      </w:r>
    </w:p>
    <w:p w14:paraId="6487BFEB" w14:textId="77777777" w:rsidR="001D4D5B" w:rsidRDefault="001D4D5B" w:rsidP="001D4D5B">
      <w:r>
        <w:t>The shared forecasting experiment retained the complete, unshifted 72-hour histories of all five sensors. A separate exploratory analysis was used to characterize plausible propagation delays along the canal and to motivate the compact 42-hour feature ablation. It was therefore a hypothesis-generation stage rather than preprocessing applied to every forecasting model.</w:t>
      </w:r>
    </w:p>
    <w:p w14:paraId="1C3BC4D8" w14:textId="7012EA9E" w:rsidR="0039124D" w:rsidRDefault="0039124D" w:rsidP="0039124D">
      <w:pPr>
        <w:pStyle w:val="Heading3"/>
        <w:numPr>
          <w:ilvl w:val="2"/>
          <w:numId w:val="1"/>
        </w:numPr>
      </w:pPr>
      <w:r w:rsidRPr="0039124D">
        <w:t>Spatial-Temporal Alignment via Cross-Correlation</w:t>
      </w:r>
    </w:p>
    <w:p w14:paraId="6901264D" w14:textId="77777777" w:rsidR="0039124D" w:rsidRDefault="0039124D" w:rsidP="0039124D">
      <w:r>
        <w:t>The Ghent-Terneuzen Canal was treated as a continuous hydrodynamic system in which conductivity variations observed near the Terneuzen locks may appear later at downstream monitoring locations. Let Y(t) denote conductivity at the industrial target site and Xₛ(t) conductivity at upstream station s. For each station, a positive lag ℓ compared an earlier upstream observation with the target at the current time.</w:t>
      </w:r>
    </w:p>
    <w:p w14:paraId="6C275879" w14:textId="6B12D551" w:rsidR="0039124D" w:rsidRDefault="0039124D" w:rsidP="0039124D">
      <w:r>
        <w:lastRenderedPageBreak/>
        <w:t>For this offline diagnostic only, the 15-minute series were smoothed with a centered two-hour rolling mean and detrended by subtracting a centered 24-hour rolling mean before correlations were calculated. These centered operations were used to reveal co-varying salinity disturbances; because they contain future information, the resulting diagnostic series were not supplied as forecasting inputs and were distinct from the trailing two-hour average used in the shared model preprocessing.</w:t>
      </w:r>
    </w:p>
    <w:p w14:paraId="3C7A0781" w14:textId="77777777" w:rsidR="0039124D" w:rsidRDefault="002D0CDD" w:rsidP="0039124D">
      <w:pPr>
        <w:spacing w:before="60" w:after="60"/>
        <w:jc w:val="center"/>
      </w:pPr>
      <m:oMathPara>
        <m:oMath>
          <m:sSub>
            <m:sSubPr>
              <m:ctrlPr>
                <w:rPr>
                  <w:rFonts w:ascii="Cambria Math" w:hAnsi="Cambria Math"/>
                </w:rPr>
              </m:ctrlPr>
            </m:sSubPr>
            <m:e>
              <m:r>
                <w:rPr>
                  <w:rFonts w:ascii="Cambria Math" w:hAnsi="Cambria Math"/>
                </w:rPr>
                <m:t>r</m:t>
              </m:r>
            </m:e>
            <m:sub>
              <m:r>
                <w:rPr>
                  <w:rFonts w:ascii="Cambria Math" w:hAnsi="Cambria Math"/>
                </w:rPr>
                <m:t>s</m:t>
              </m:r>
            </m:sub>
          </m:sSub>
          <m:r>
            <m:rPr>
              <m:scr m:val="script"/>
              <m:sty m:val="p"/>
            </m:rPr>
            <w:rPr>
              <w:rFonts w:ascii="Cambria Math" w:hAnsi="Cambria Math"/>
            </w:rPr>
            <m:t xml:space="preserve">(l) = </m:t>
          </m:r>
          <m:r>
            <m:rPr>
              <m:sty m:val="p"/>
            </m:rPr>
            <w:rPr>
              <w:rFonts w:ascii="Cambria Math" w:hAnsi="Cambria Math"/>
            </w:rPr>
            <m:t>Corr[</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 xml:space="preserve">(t - </m:t>
          </m:r>
          <m:r>
            <m:rPr>
              <m:scr m:val="script"/>
              <m:sty m:val="p"/>
            </m:rPr>
            <w:rPr>
              <w:rFonts w:ascii="Cambria Math" w:hAnsi="Cambria Math"/>
            </w:rPr>
            <m:t xml:space="preserve">l), </m:t>
          </m:r>
          <m:r>
            <w:rPr>
              <w:rFonts w:ascii="Cambria Math" w:hAnsi="Cambria Math"/>
            </w:rPr>
            <m:t>Y</m:t>
          </m:r>
          <m:r>
            <m:rPr>
              <m:sty m:val="p"/>
            </m:rPr>
            <w:rPr>
              <w:rFonts w:ascii="Cambria Math" w:hAnsi="Cambria Math"/>
            </w:rPr>
            <m:t>(t)]</m:t>
          </m:r>
        </m:oMath>
      </m:oMathPara>
    </w:p>
    <w:p w14:paraId="7198BD1B" w14:textId="62B63188" w:rsidR="0039124D" w:rsidRPr="0039124D" w:rsidRDefault="0039124D" w:rsidP="0039124D">
      <w:r>
        <w:t>The correlation at each lag was calculated from the paired, non-missing overlap between the two series. Peaks in rₛ(ℓ) were interpreted as candidate propagation delays rather than direct measurements of water-particle travel time, because tidal forcing, lock-operation cycles, freshwater inflow and serial autocorrelation can create repeated or broadened correlation maxima.</w:t>
      </w:r>
    </w:p>
    <w:p w14:paraId="634B65BC" w14:textId="77777777" w:rsidR="0039124D" w:rsidRDefault="0039124D" w:rsidP="0039124D">
      <w:pPr>
        <w:pStyle w:val="Heading3"/>
        <w:numPr>
          <w:ilvl w:val="2"/>
          <w:numId w:val="1"/>
        </w:numPr>
      </w:pPr>
      <w:r w:rsidRPr="0039124D">
        <w:t xml:space="preserve">Geographically Constrained Lag Search </w:t>
      </w:r>
    </w:p>
    <w:p w14:paraId="03C4507C" w14:textId="0B13458B" w:rsidR="0039124D" w:rsidRPr="0039124D" w:rsidRDefault="0039124D" w:rsidP="0039124D">
      <w:pPr>
        <w:jc w:val="left"/>
      </w:pPr>
      <w:r w:rsidRPr="0039124D">
        <w:t>An unconstrained correlation search can select harmonics associated with daily or lock-operation cycles rather than physically plausible propagation. Candidate lags were therefore selected only within station-specific search intervals Wₛ based on each sensor's relative position along the canal:</w:t>
      </w:r>
    </w:p>
    <w:p w14:paraId="1D506629" w14:textId="23B75F86" w:rsidR="0039124D" w:rsidRPr="0039124D" w:rsidRDefault="002D0CDD" w:rsidP="0039124D">
      <w:pPr>
        <w:jc w:val="left"/>
      </w:pPr>
      <m:oMathPara>
        <m:oMath>
          <m:sSubSup>
            <m:sSubSupPr>
              <m:ctrlPr>
                <w:rPr>
                  <w:rFonts w:ascii="Cambria Math" w:hAnsi="Cambria Math"/>
                </w:rPr>
              </m:ctrlPr>
            </m:sSubSupPr>
            <m:e>
              <m:r>
                <m:rPr>
                  <m:scr m:val="script"/>
                </m:rPr>
                <w:rPr>
                  <w:rFonts w:ascii="Cambria Math" w:hAnsi="Cambria Math"/>
                </w:rPr>
                <m:t>l</m:t>
              </m:r>
            </m:e>
            <m:sub>
              <m:r>
                <w:rPr>
                  <w:rFonts w:ascii="Cambria Math" w:hAnsi="Cambria Math"/>
                </w:rPr>
                <m:t>s</m:t>
              </m:r>
            </m:sub>
            <m:sup>
              <m:r>
                <w:rPr>
                  <w:rFonts w:ascii="Cambria Math" w:hAnsi="Cambria Math"/>
                </w:rPr>
                <m:t>*</m:t>
              </m:r>
            </m:sup>
          </m:sSubSup>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max</m:t>
              </m:r>
            </m:e>
            <m:lim>
              <m:r>
                <m:rPr>
                  <m:scr m:val="script"/>
                  <m:sty m:val="p"/>
                </m:rPr>
                <w:rPr>
                  <w:rFonts w:ascii="Cambria Math" w:hAnsi="Cambria Math"/>
                </w:rPr>
                <m:t xml:space="preserve">l ∈ </m:t>
              </m:r>
              <m:sSub>
                <m:sSubPr>
                  <m:ctrlPr>
                    <w:rPr>
                      <w:rFonts w:ascii="Cambria Math" w:hAnsi="Cambria Math"/>
                    </w:rPr>
                  </m:ctrlPr>
                </m:sSubPr>
                <m:e>
                  <m:r>
                    <w:rPr>
                      <w:rFonts w:ascii="Cambria Math" w:hAnsi="Cambria Math"/>
                    </w:rPr>
                    <m:t>W</m:t>
                  </m:r>
                </m:e>
                <m:sub>
                  <m:r>
                    <w:rPr>
                      <w:rFonts w:ascii="Cambria Math" w:hAnsi="Cambria Math"/>
                    </w:rPr>
                    <m:t>s</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s</m:t>
              </m:r>
            </m:sub>
          </m:sSub>
          <m:r>
            <m:rPr>
              <m:scr m:val="script"/>
              <m:sty m:val="p"/>
            </m:rPr>
            <w:rPr>
              <w:rFonts w:ascii="Cambria Math" w:hAnsi="Cambria Math"/>
            </w:rPr>
            <m:t>(l)</m:t>
          </m:r>
        </m:oMath>
      </m:oMathPara>
    </w:p>
    <w:p w14:paraId="306C06D1" w14:textId="77777777" w:rsidR="0039124D" w:rsidRPr="0039124D" w:rsidRDefault="0039124D" w:rsidP="0039124D">
      <w:pPr>
        <w:numPr>
          <w:ilvl w:val="0"/>
          <w:numId w:val="7"/>
        </w:numPr>
      </w:pPr>
      <w:r w:rsidRPr="0039124D">
        <w:t>Gent-near: 0-4 hours (immediate boundary dynamics)</w:t>
      </w:r>
    </w:p>
    <w:p w14:paraId="3B4E4430" w14:textId="77777777" w:rsidR="0039124D" w:rsidRPr="0039124D" w:rsidRDefault="0039124D" w:rsidP="0039124D">
      <w:pPr>
        <w:numPr>
          <w:ilvl w:val="0"/>
          <w:numId w:val="7"/>
        </w:numPr>
      </w:pPr>
      <w:r w:rsidRPr="0039124D">
        <w:t>Gent-far: 10-24 hours (arrival from the northern port area)</w:t>
      </w:r>
    </w:p>
    <w:p w14:paraId="449AAB1F" w14:textId="77777777" w:rsidR="0039124D" w:rsidRPr="0039124D" w:rsidRDefault="0039124D" w:rsidP="0039124D">
      <w:pPr>
        <w:numPr>
          <w:ilvl w:val="0"/>
          <w:numId w:val="7"/>
        </w:numPr>
      </w:pPr>
      <w:r w:rsidRPr="0039124D">
        <w:t>Westdorpe: 20-38 hours (mid-canal propagation)</w:t>
      </w:r>
    </w:p>
    <w:p w14:paraId="7CA39B40" w14:textId="77777777" w:rsidR="0039124D" w:rsidRPr="0039124D" w:rsidRDefault="0039124D" w:rsidP="0039124D">
      <w:pPr>
        <w:numPr>
          <w:ilvl w:val="0"/>
          <w:numId w:val="7"/>
        </w:numPr>
      </w:pPr>
      <w:r w:rsidRPr="0039124D">
        <w:t>Terneuzen: 35-48 hours (propagation from the North Sea boundary)</w:t>
      </w:r>
    </w:p>
    <w:p w14:paraId="2B87E208" w14:textId="77777777" w:rsidR="0039124D" w:rsidRPr="0039124D" w:rsidRDefault="0039124D" w:rsidP="0039124D">
      <w:pPr>
        <w:jc w:val="left"/>
      </w:pPr>
      <w:r w:rsidRPr="0039124D">
        <w:t>The selected lags were used to align upstream observations for exploratory visualization and interpretation. They were not imposed on the complete-history XGBoost, SVR, LSTM or TCN models, which received the original ordered histories and could learn useful temporal relationships internally. Because the preliminary lag search was performed before the final chronological evaluation protocol was fixed, these lag estimates and the associated 42-hour hypothesis are treated as exploratory. A confirmatory study should estimate and select lags using training data only and hold them fixed before evaluating the September test period.</w:t>
      </w:r>
    </w:p>
    <w:p w14:paraId="02FF9831" w14:textId="2A724BE2" w:rsidR="00C25F64" w:rsidRDefault="00806EFA" w:rsidP="00C25F64">
      <w:pPr>
        <w:pStyle w:val="Heading2"/>
        <w:numPr>
          <w:ilvl w:val="1"/>
          <w:numId w:val="1"/>
        </w:numPr>
      </w:pPr>
      <w:commentRangeStart w:id="9"/>
      <w:r w:rsidRPr="00806EFA">
        <w:t>Model-Specific Implementations</w:t>
      </w:r>
      <w:commentRangeEnd w:id="9"/>
      <w:r w:rsidR="007D5E9F">
        <w:rPr>
          <w:rStyle w:val="CommentReference"/>
          <w:sz w:val="32"/>
          <w:szCs w:val="32"/>
        </w:rPr>
        <w:commentReference w:id="9"/>
      </w:r>
    </w:p>
    <w:p w14:paraId="13A8F626" w14:textId="2A38FF98" w:rsidR="00806EFA" w:rsidRDefault="00806EFA" w:rsidP="00806EFA">
      <w:pPr>
        <w:pStyle w:val="Heading3"/>
        <w:numPr>
          <w:ilvl w:val="2"/>
          <w:numId w:val="1"/>
        </w:numPr>
      </w:pPr>
      <w:r w:rsidRPr="00806EFA">
        <w:t>Extreme Gradient Boosting</w:t>
      </w:r>
    </w:p>
    <w:p w14:paraId="753F2087" w14:textId="77777777" w:rsidR="00806EFA" w:rsidRDefault="00806EFA" w:rsidP="00806EFA">
      <w:r>
        <w:t xml:space="preserve">For the complete-history XGBoost model, each 288 by 5 input tensor was flattened to 1,440 ordered features. Sixteen independent gradient-boosted tree regressors were fitted, one for every 15-minute forecast step. The maximum ensemble size was 1,200 trees with learning rate 0.03, </w:t>
      </w:r>
      <w:r>
        <w:lastRenderedPageBreak/>
        <w:t>maximum depth 4, minimum child weight 5, row subsampling 0.80, column subsampling 0.60, L1 regularization 0.05 and L2 regularization 5.0. Histogram-based tree construction was used, and training stopped when validation RMSE failed to improve for 40 epochs. The direct horizon-specific estimators allowed the mapping to change with lead time rather than imposing one common response function.</w:t>
      </w:r>
    </w:p>
    <w:p w14:paraId="61C41951" w14:textId="3BEBE7D4" w:rsidR="00806EFA" w:rsidRDefault="00806EFA" w:rsidP="00806EFA">
      <w:pPr>
        <w:pStyle w:val="Heading3"/>
        <w:numPr>
          <w:ilvl w:val="2"/>
          <w:numId w:val="1"/>
        </w:numPr>
      </w:pPr>
      <w:r>
        <w:t>Support Vector Regression</w:t>
      </w:r>
    </w:p>
    <w:p w14:paraId="59CC44DF" w14:textId="77777777" w:rsidR="00806EFA" w:rsidRDefault="00806EFA" w:rsidP="00806EFA">
      <w:r>
        <w:t>The SVR model received the same 1,440 flattened values, followed by an additional feature-wise standardization fitted on the training matrix. A radial basis function kernel was used with C = 10, epsilon = 0.05 and gamma = 'scale'. As in XGBoost, 16 independent regressors predicted the scaled change at each future step. The RBF formulation provides a smooth nonlinear mapping, in contrast to the piecewise-constant partitions produced by tree ensembles.</w:t>
      </w:r>
    </w:p>
    <w:p w14:paraId="1CE93CC8" w14:textId="1889286A" w:rsidR="007D5E9F" w:rsidRDefault="007D5E9F" w:rsidP="007D5E9F">
      <w:pPr>
        <w:pStyle w:val="Heading3"/>
        <w:numPr>
          <w:ilvl w:val="2"/>
          <w:numId w:val="1"/>
        </w:numPr>
      </w:pPr>
      <w:r>
        <w:t>Long Short-Term Memory Network</w:t>
      </w:r>
    </w:p>
    <w:p w14:paraId="75BD4B70" w14:textId="77777777" w:rsidR="007D5E9F" w:rsidRDefault="007D5E9F" w:rsidP="007D5E9F">
      <w:r>
        <w:t xml:space="preserve">The LSTM preserved the 288 by 5 sequence structure. The first recurrent layer with 64 units returned the complete encoded sequence; after dropout of 0.10, a second 32-unit LSTM condensed it into one temporal summary. Layer normalization, a 64-unit rectified linear dense layer and a second 0.10 dropout layer preceded a 16-unit output layer. The network therefore produced the entire scaled change trajectory in one forward pass. It was optimized with Adam learning rate of value </w:t>
      </w:r>
      <m:oMath>
        <m:r>
          <w:rPr>
            <w:rFonts w:ascii="Cambria Math" w:hAnsi="Cambria Math"/>
          </w:rPr>
          <m:t xml:space="preserve">3 X </m:t>
        </m:r>
        <m:sSup>
          <m:sSupPr>
            <m:ctrlPr>
              <w:rPr>
                <w:rFonts w:ascii="Cambria Math" w:hAnsi="Cambria Math"/>
                <w:i/>
              </w:rPr>
            </m:ctrlPr>
          </m:sSupPr>
          <m:e>
            <m:r>
              <w:rPr>
                <w:rFonts w:ascii="Cambria Math" w:hAnsi="Cambria Math"/>
              </w:rPr>
              <m:t>10</m:t>
            </m:r>
          </m:e>
          <m:sup>
            <m:r>
              <w:rPr>
                <w:rFonts w:ascii="Cambria Math" w:hAnsi="Cambria Math"/>
              </w:rPr>
              <m:t>-4</m:t>
            </m:r>
          </m:sup>
        </m:sSup>
      </m:oMath>
      <w:r>
        <w:t xml:space="preserve"> and gradient-norm clipping at 1.0, Huber loss with delta 1.0, a batch size of 128 and a maximum of 150 epochs. The checkpoint with the lowest August validation loss was retained; early stopping and learning-rate reduction used patience values of 18 and 6 epochs, respectively.</w:t>
      </w:r>
    </w:p>
    <w:p w14:paraId="3AB2BB04" w14:textId="225E417E" w:rsidR="007D5E9F" w:rsidRPr="007D5E9F" w:rsidRDefault="007D5E9F" w:rsidP="007D5E9F">
      <w:pPr>
        <w:pStyle w:val="Heading3"/>
        <w:numPr>
          <w:ilvl w:val="2"/>
          <w:numId w:val="1"/>
        </w:numPr>
      </w:pPr>
      <w:r w:rsidRPr="007D5E9F">
        <w:t>Temporal Convolutional Network</w:t>
      </w:r>
    </w:p>
    <w:p w14:paraId="3244D243" w14:textId="61A274DF" w:rsidR="0040354E" w:rsidRDefault="0040354E" w:rsidP="0040354E">
      <w:r>
        <w:t>TCN preserved the multivariate sequence but replaced recurrence with causal dilated convolutions. Six residual blocks used dilation factors 1, 2, 4, 8, 16 and 32. Each block contained two causal one-dimensional convolutions with 24 filters and kernel size 5, followed by layer normalization, rectified linear activation and spatial dropout of 0.10. Residual shortcuts supported gradient flow. The theoretical receptive field was 505 time steps, exceeding the available 288-step history; the final encoding could therefore use the complete 72-hour input. The latest encoded time step was passed through a 64-unit dense layer and a 16-unit output layer. Optimization matched the LSTM objective and optimizer, with batch size 256, at most 120 epochs, early stopping patience 14 and learning-rate-reduction patience 5.</w:t>
      </w:r>
    </w:p>
    <w:p w14:paraId="703D2847" w14:textId="7F497A1A" w:rsidR="00806EFA" w:rsidRPr="00806EFA" w:rsidRDefault="0040354E" w:rsidP="0040354E">
      <w:pPr>
        <w:pStyle w:val="Heading2"/>
        <w:numPr>
          <w:ilvl w:val="1"/>
          <w:numId w:val="1"/>
        </w:numPr>
      </w:pPr>
      <w:r>
        <w:t>Explicit 42-Hour Feature Ablation</w:t>
      </w:r>
    </w:p>
    <w:p w14:paraId="10017E37" w14:textId="77777777" w:rsidR="0040354E" w:rsidRDefault="0040354E" w:rsidP="0040354E">
      <w:r>
        <w:t xml:space="preserve">The complete-history XGBoost, SVR, LSTM and TCN models were not supplied with a manually shifted propagation feature. They could access the entire preceding 72 hours and determine useful temporal relationships internally. Motivated by the Terneuzen search interval and the exploratory cross-correlation analysis, a separate classical-model ablation tested an approximately 42-hour </w:t>
      </w:r>
      <w:r>
        <w:lastRenderedPageBreak/>
        <w:t>Terneuzen-to-Ghent delay. Its compact input contained four standardized features: current industrial-site conductivity, trailing one-hour and two-hour target changes, and Terneuzen conductivity exactly 42 hours before the forecast origin. XGBoost and SVR were refitted on this representation using their original estimator settings and the same training, validation and test targets.</w:t>
      </w:r>
    </w:p>
    <w:p w14:paraId="2453B656" w14:textId="77777777" w:rsidR="0040354E" w:rsidRDefault="0040354E" w:rsidP="0040354E">
      <w:r>
        <w:t xml:space="preserve">This comparison should be interpreted as a feature-representation experiment rather than a direct test. The complete 72-hour history already contains the Terneuzen observation at 42 hours; the ablation changes 1,440 inputs into four manually selected summaries. </w:t>
      </w:r>
    </w:p>
    <w:p w14:paraId="35F9C246" w14:textId="6FD5B2A3" w:rsidR="009239BA" w:rsidRDefault="007E05D4" w:rsidP="007E05D4">
      <w:pPr>
        <w:pStyle w:val="Heading1"/>
      </w:pPr>
      <w:r w:rsidRPr="007E05D4">
        <w:t>Machine Learning Architectures &amp; Provenance</w:t>
      </w:r>
    </w:p>
    <w:p w14:paraId="622BD383" w14:textId="6F8E63C8" w:rsidR="007E05D4" w:rsidRDefault="007E05D4" w:rsidP="007E05D4">
      <w:r w:rsidRPr="007E05D4">
        <w:t>With the raw LDES streams transformed into a physically aligned, delta-tracked feature matrix, the predictive task shifts to capturing the non-linear fluid dynamics of the canal. The notebook implements three tabular regressors (XGBoost, SVR, and MLP) and an exploratory two-stage LSTM autoencoder/forecaster. Furthermore, to ensure the reproducibility of these models within the Water Data Space, the pipeline can subsequently be documented using semantic provenance vocabularies.</w:t>
      </w:r>
    </w:p>
    <w:p w14:paraId="69F60546" w14:textId="7DD29CEE" w:rsidR="007E05D4" w:rsidRDefault="007E05D4" w:rsidP="007E05D4">
      <w:pPr>
        <w:pStyle w:val="Heading2"/>
        <w:numPr>
          <w:ilvl w:val="1"/>
          <w:numId w:val="1"/>
        </w:numPr>
      </w:pPr>
      <w:r w:rsidRPr="007E05D4">
        <w:t>Tree-Based Baselines and Variance Underestimation</w:t>
      </w:r>
    </w:p>
    <w:p w14:paraId="7E4CA17A" w14:textId="77777777" w:rsidR="007E05D4" w:rsidRDefault="007E05D4" w:rsidP="007E05D4">
      <w:r w:rsidRPr="00303EDF">
        <w:t xml:space="preserve">Decision-tree ensembles, such as Extreme Gradient Boosting (XGBoost) and Random Forest, are widely utilized due to their robust handling of non-linear step-functions. However, standard regression trees suffer from a major mathematical limitation: they cannot extrapolate. When predicting absolute future values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t+h</m:t>
            </m:r>
          </m:sub>
        </m:sSub>
        <m:r>
          <w:rPr>
            <w:rFonts w:ascii="Cambria Math" w:hAnsi="Cambria Math"/>
          </w:rPr>
          <m:t>)</m:t>
        </m:r>
      </m:oMath>
      <w:r>
        <w:t xml:space="preserve">, </w:t>
      </w:r>
      <w:r w:rsidRPr="00303EDF">
        <w:t>if a physical event pushes salinity levels below any threshold seen in the training set, a standard tree-based model will flatline, clamping its predictions at the minimum training average and failing to reach the absolute depths of the target troughs.</w:t>
      </w:r>
    </w:p>
    <w:p w14:paraId="5CDBCEE3" w14:textId="77777777" w:rsidR="007E05D4" w:rsidRDefault="007E05D4" w:rsidP="007E05D4">
      <w:r w:rsidRPr="005C53B3">
        <w:t>In this pipeline, this limitation is addressed through the Delta-Tracking (differential) formulation. By shifting the target variable to the localized 1-hour gradient:</w:t>
      </w:r>
    </w:p>
    <w:p w14:paraId="779CC72F" w14:textId="77777777" w:rsidR="007E05D4" w:rsidRPr="005E18A0" w:rsidRDefault="007E05D4" w:rsidP="007E05D4">
      <w:pPr>
        <w:jc w:val="center"/>
        <w:rPr>
          <w:rFonts w:eastAsiaTheme="minorEastAsia"/>
        </w:rPr>
      </w:pPr>
      <m:oMathPara>
        <m:oMath>
          <m:r>
            <m:rPr>
              <m:sty m:val="p"/>
            </m:rPr>
            <w:rPr>
              <w:rFonts w:ascii="Cambria Math" w:hAnsi="Cambria Math"/>
            </w:rPr>
            <m:t>ΔₕY(t) = Y(t+h) - Y(t),     h = 4 samples</m:t>
          </m:r>
        </m:oMath>
      </m:oMathPara>
    </w:p>
    <w:p w14:paraId="5492456B" w14:textId="77777777" w:rsidR="007E05D4" w:rsidRDefault="007E05D4" w:rsidP="007E05D4">
      <w:r w:rsidRPr="00BE057E">
        <w:t>the tree ensemble is relieved of the burden of tracking absolute global scales. Instead, it is tasked solely with predicting bounded, localized step deltas. During inference, the absolute future state is reconstructed dynamically:</w:t>
      </w:r>
    </w:p>
    <w:p w14:paraId="0A7DF0B7" w14:textId="77777777" w:rsidR="007E05D4" w:rsidRPr="001D014E" w:rsidRDefault="007E05D4" w:rsidP="007E05D4">
      <w:pPr>
        <w:jc w:val="center"/>
        <w:rPr>
          <w:rFonts w:eastAsiaTheme="minorEastAsia"/>
        </w:rPr>
      </w:pPr>
      <m:oMathPara>
        <m:oMath>
          <m:r>
            <m:rPr>
              <m:sty m:val="p"/>
            </m:rPr>
            <w:rPr>
              <w:rFonts w:ascii="Cambria Math" w:hAnsi="Cambria Math"/>
            </w:rPr>
            <m:t>Ŷ(t+h) = Y(t) + Δ̂ₕY(t)</m:t>
          </m:r>
        </m:oMath>
      </m:oMathPara>
    </w:p>
    <w:p w14:paraId="1C8863F7" w14:textId="77777777" w:rsidR="007E05D4" w:rsidRPr="002517ED" w:rsidRDefault="007E05D4" w:rsidP="007E05D4">
      <w:r>
        <w:t>Because the forecast is anchored to the real-time baseline value Y(t) measured at the target site, delta reconstruction can reduce absolute-scale boundary effects. Whether it improves extreme-event prediction must nevertheless be established from held-out evaluation results.</w:t>
      </w:r>
    </w:p>
    <w:p w14:paraId="65379857" w14:textId="0FFE4F72" w:rsidR="007E05D4" w:rsidRDefault="007E05D4" w:rsidP="007E05D4">
      <w:pPr>
        <w:pStyle w:val="Heading2"/>
        <w:numPr>
          <w:ilvl w:val="1"/>
          <w:numId w:val="1"/>
        </w:numPr>
      </w:pPr>
      <w:r w:rsidRPr="007E05D4">
        <w:lastRenderedPageBreak/>
        <w:t>Continuous Function Mapping via Support Vector Regression</w:t>
      </w:r>
    </w:p>
    <w:p w14:paraId="64FBF2D2" w14:textId="77777777" w:rsidR="007E05D4" w:rsidRPr="002517ED" w:rsidRDefault="007E05D4" w:rsidP="007E05D4">
      <w:r>
        <w:t>W</w:t>
      </w:r>
      <w:r w:rsidRPr="002517ED">
        <w:t>e evaluated Support Vector Regression (SVR) equipped with a Radial Basis Function (RBF) kernel. Unlike XGBoost, SVR computes a continuous mathematical function by mapping the input space into a high-dimensional feature space where a linear regression tube (defined by an insensitive loss function) is fitted.</w:t>
      </w:r>
    </w:p>
    <w:p w14:paraId="309F4FD6" w14:textId="77777777" w:rsidR="007E05D4" w:rsidRDefault="007E05D4" w:rsidP="007E05D4">
      <w:r w:rsidRPr="002517ED">
        <w:t>The RBF kernel computes the spatial-temporal distance between the aligned sensor features:</w:t>
      </w:r>
    </w:p>
    <w:p w14:paraId="6AC68DA5" w14:textId="77777777" w:rsidR="007E05D4" w:rsidRPr="002517ED" w:rsidRDefault="007E05D4" w:rsidP="007E05D4">
      <w:pPr>
        <w:jc w:val="center"/>
      </w:pPr>
      <m:oMathPara>
        <m:oMath>
          <m:r>
            <m:rPr>
              <m:sty m:val="p"/>
            </m:rPr>
            <w:rPr>
              <w:rFonts w:ascii="Cambria Math" w:hAnsi="Cambria Math"/>
            </w:rPr>
            <m:t>K(x, x') = exp[-γ‖x - x'‖₂²]</m:t>
          </m:r>
        </m:oMath>
      </m:oMathPara>
    </w:p>
    <w:p w14:paraId="57DEBDD5" w14:textId="2E544088" w:rsidR="007E05D4" w:rsidRPr="007E05D4" w:rsidRDefault="007E05D4" w:rsidP="007E05D4">
      <w:pPr>
        <w:pStyle w:val="Heading2"/>
        <w:numPr>
          <w:ilvl w:val="1"/>
          <w:numId w:val="1"/>
        </w:numPr>
      </w:pPr>
      <w:r w:rsidRPr="007E05D4">
        <w:t>Temporal Convolutional Network</w:t>
      </w:r>
    </w:p>
    <w:p w14:paraId="36116C56" w14:textId="77777777" w:rsidR="00F725EF" w:rsidRDefault="00F725EF" w:rsidP="00F725EF">
      <w:r w:rsidRPr="00D82B54">
        <w:t>A Temporal Convolutional Network was selected because it can model long sequential dependencies using causal and dilated one-dimensional convolutions. Unlike a conventional feed-forward neural network, which treats observations independently, the TCN receives an ordered historical sequence and learns temporal patterns within that sequence. Unlike recurrent architectures such as Long Short-Term Memory networks, the TCN processes multiple temporal positions in parallel and does not require information to be propagated sequentially through hundreds of recurrent steps.</w:t>
      </w:r>
    </w:p>
    <w:p w14:paraId="5575F961" w14:textId="77777777" w:rsidR="00F725EF" w:rsidRDefault="00F725EF" w:rsidP="00F725EF">
      <w:r>
        <w:t>C</w:t>
      </w:r>
      <w:r w:rsidRPr="00D82B54">
        <w:t>onvolution</w:t>
      </w:r>
      <w:r>
        <w:t>s</w:t>
      </w:r>
      <w:r w:rsidRPr="00D82B54">
        <w:t xml:space="preserve"> </w:t>
      </w:r>
      <w:r>
        <w:t>are</w:t>
      </w:r>
      <w:r w:rsidRPr="00D82B54">
        <w:t xml:space="preserve"> used to preserve the direction of time. For a representation calculated at time</w:t>
      </w:r>
      <w:r>
        <w:t xml:space="preserve"> t</w:t>
      </w:r>
      <w:r w:rsidRPr="00D82B54">
        <w:t xml:space="preserve">, a convolution may use observations at </w:t>
      </w:r>
      <w:r>
        <w:t>t</w:t>
      </w:r>
      <w:r w:rsidRPr="00D82B54">
        <w:t xml:space="preserve"> and earlier times, but never observations after</w:t>
      </w:r>
      <w:r>
        <w:t xml:space="preserve"> t</w:t>
      </w:r>
      <w:r w:rsidRPr="00D82B54">
        <w:t>. The network therefore cannot obtain information from the period it is intended to forecast.</w:t>
      </w:r>
      <w:r>
        <w:t xml:space="preserve"> </w:t>
      </w:r>
      <w:r w:rsidRPr="00D82B54">
        <w:t>Dilated convolutions allowed the network to examine increasingly distant parts of the historical sequence without requiring an excessively deep architecture.</w:t>
      </w:r>
      <w:r>
        <w:t xml:space="preserve"> </w:t>
      </w:r>
      <w:r w:rsidRPr="00D82B54">
        <w:t>Six dilation levels were used</w:t>
      </w:r>
      <w:r>
        <w:t xml:space="preserve"> accordingly; 1, 2, 4, 8, 16, 32. </w:t>
      </w:r>
      <w:r w:rsidRPr="00E64EAB">
        <w:t>At small dilation rates, the network can represent short-duration changes, such as a recent increase in conductivity. At larger dilation rates, it can combine information separated by many hours and represent longer processes such as tidal variation, gradual salinity intrusion and delayed relationships among geographically separated sensors.</w:t>
      </w:r>
    </w:p>
    <w:p w14:paraId="29ECEBC9" w14:textId="77777777" w:rsidR="00F725EF" w:rsidRDefault="00F725EF" w:rsidP="00F725EF">
      <w:r w:rsidRPr="00E64EAB">
        <w:t>Each dilation level was implemented as a residual block containing two causal convolutional layers. Each convolution used 24 filters and a kernel size of five. Layer normalization rectified linear activation and spatial dropout with a rate of 0.10 were applied after each convolution. A shortcut connection added the block input to its transformed representation. These residual connections improve optimization by allowing information and gradients to pass through the network without being repeatedly transformed.</w:t>
      </w:r>
    </w:p>
    <w:p w14:paraId="011E46EE" w14:textId="6A098080" w:rsidR="00F725EF" w:rsidRDefault="00F725EF" w:rsidP="00F725EF">
      <w:r w:rsidRPr="00B84759">
        <w:t xml:space="preserve">The theoretical receptive field of the convolutional stack exceeded the 288-sample input length. Therefore, the final encoded representation could incorporate information from the complete 72-hour observation window. The latest encoded time step was passed to a fully connected layer with 32 units, followed by a single output neuron representing the scaled change in </w:t>
      </w:r>
      <w:r>
        <w:t>industrial target’s</w:t>
      </w:r>
      <w:r w:rsidRPr="00B84759">
        <w:t xml:space="preserve"> conductivity. The resulting model contained 34,121 trainable parameters, providing sufficient capacity to represent nonlinear temporal relationships while remaining relatively compact.</w:t>
      </w:r>
    </w:p>
    <w:p w14:paraId="4DA293C5" w14:textId="77777777" w:rsidR="00F725EF" w:rsidRPr="00F725EF" w:rsidRDefault="00F725EF" w:rsidP="00F725EF">
      <w:pPr>
        <w:jc w:val="left"/>
      </w:pPr>
      <w:r w:rsidRPr="00F725EF">
        <w:lastRenderedPageBreak/>
        <w:t>The model was optimized using Adam with a learning rate and gradient clipping. Huber loss was used as the optimization objective. Huber loss behaves quadratically for small residuals and approximately linearly for large residuals, making it less sensitive than mean squared error to occasional conductivity spikes while retaining smooth gradients around typical errors. Mean absolute error was monitored as an additional metric but did not control weight updates.</w:t>
      </w:r>
    </w:p>
    <w:p w14:paraId="60566C67" w14:textId="30E71D65" w:rsidR="007E05D4" w:rsidRDefault="00F725EF" w:rsidP="00F725EF">
      <w:pPr>
        <w:pStyle w:val="Heading2"/>
        <w:numPr>
          <w:ilvl w:val="1"/>
          <w:numId w:val="1"/>
        </w:numPr>
      </w:pPr>
      <w:r w:rsidRPr="00F725EF">
        <w:t>LSTM Autoencoder and Forecaster</w:t>
      </w:r>
    </w:p>
    <w:p w14:paraId="468F9FEE" w14:textId="77777777" w:rsidR="00F725EF" w:rsidRPr="00714C4A" w:rsidRDefault="00F725EF" w:rsidP="00F725EF">
      <w:r w:rsidRPr="00714C4A">
        <w:t>we implement a two-stage Long Short-Term Memory (LSTM) autoencoder and forecaster.</w:t>
      </w:r>
      <w:r>
        <w:t xml:space="preserve"> In the denoising encoder, </w:t>
      </w:r>
      <w:r w:rsidRPr="00714C4A">
        <w:t>the input tensor is subjected to Gaussian Noise and passed through stacked LSTM layers to compress the physical state into a low-dimensional latent bottleneck vector, filtering out localized sensor anomalies.</w:t>
      </w:r>
      <w:r>
        <w:t xml:space="preserve"> </w:t>
      </w:r>
      <w:r w:rsidRPr="00714C4A">
        <w:t>After autoencoder pretraining</w:t>
      </w:r>
      <w:r>
        <w:t xml:space="preserve"> in the forecasting stage, </w:t>
      </w:r>
      <w:r w:rsidRPr="00714C4A">
        <w:t>the encoder is reused by a dense forecasting head. The encoder is first frozen while the head is trained and is then unfrozen for end-to-end fine-tuning.</w:t>
      </w:r>
    </w:p>
    <w:p w14:paraId="34EC75B9" w14:textId="77777777" w:rsidR="00F725EF" w:rsidRPr="00F725EF" w:rsidRDefault="00F725EF" w:rsidP="00F725EF">
      <w:pPr>
        <w:spacing w:line="259" w:lineRule="auto"/>
        <w:rPr>
          <w:rFonts w:eastAsia="Arial" w:cs="Times New Roman"/>
          <w:szCs w:val="22"/>
        </w:rPr>
      </w:pPr>
      <w:r w:rsidRPr="00F725EF">
        <w:rPr>
          <w:rFonts w:eastAsia="Arial" w:cs="Times New Roman"/>
          <w:szCs w:val="22"/>
        </w:rPr>
        <w:t xml:space="preserve">The LSTM experiment used exactly the same data preparation, chronological partitions, input variables, prediction targets and evaluation windows as the corresponding TCN experiment. The network consisted of two stacked LSTM layers. The first layer contained 64 recurrent units and returned an encoded representation for every historical time step. The network was optimized using Adam with an initial learning rate and gradient-norm clipping at Huber loss similar to TCN. </w:t>
      </w:r>
    </w:p>
    <w:p w14:paraId="4C7B352A" w14:textId="6B4D83C6" w:rsidR="00F725EF" w:rsidRPr="00F725EF" w:rsidRDefault="00F725EF" w:rsidP="00F725EF">
      <w:pPr>
        <w:pStyle w:val="Heading2"/>
        <w:numPr>
          <w:ilvl w:val="1"/>
          <w:numId w:val="1"/>
        </w:numPr>
      </w:pPr>
      <w:r w:rsidRPr="00F725EF">
        <w:t>Semantic Model Provenance with MLDCAT-AP</w:t>
      </w:r>
    </w:p>
    <w:p w14:paraId="70EBF440" w14:textId="77777777" w:rsidR="00F725EF" w:rsidRDefault="00F725EF" w:rsidP="00F725EF">
      <w:r w:rsidRPr="00DE118E">
        <w:t>A critical challenge in modern data science is the isolation of machine learning artifacts from their underlying data architecture. To integrate the LSTM artifacts into the wider data space, we provide an MLDCAT-AP 2.0 Turtle. This record describes the published Seq2Seq forecaster</w:t>
      </w:r>
    </w:p>
    <w:p w14:paraId="27063011" w14:textId="77777777" w:rsidR="00F725EF" w:rsidRDefault="00F725EF" w:rsidP="00F725EF">
      <w:r w:rsidRPr="00DE118E">
        <w:t>To support transparent provenance and open science principles, the metadata explicitly defines the creator's identity, linking the model's authorship to institutional affiliations. Furthermore, the graph captures the artifact's CC-BY 4.0 open license, semantic versioning, cryptographic checksums, and its source code repository.</w:t>
      </w:r>
    </w:p>
    <w:p w14:paraId="336EB68C" w14:textId="77777777" w:rsidR="00F725EF" w:rsidRDefault="00F725EF" w:rsidP="00F725EF">
      <w:r w:rsidRPr="00DE118E">
        <w:t xml:space="preserve">Crucially, the MLDCAT-AP record formally encodes both the intended use and the operational boundaries of the deployed model to ensure safe adoption. The metadata specifies the model's input window to produce a 288-step (72-hour) forecast horizon at a 15-minute resolution. </w:t>
      </w:r>
      <w:r>
        <w:t>It also</w:t>
      </w:r>
      <w:r w:rsidRPr="00DE118E">
        <w:t xml:space="preserve"> explicitly asserts the model's limitations</w:t>
      </w:r>
      <w:r>
        <w:t xml:space="preserve"> such as</w:t>
      </w:r>
      <w:r w:rsidRPr="00DE118E">
        <w:t xml:space="preserve"> forecasting accuracy </w:t>
      </w:r>
      <w:r>
        <w:t>degradation</w:t>
      </w:r>
      <w:r w:rsidRPr="00DE118E">
        <w:t xml:space="preserve"> beyond the 24-hour mark and mandates the use of the original Minmax scaler</w:t>
      </w:r>
      <w:r>
        <w:t xml:space="preserve"> </w:t>
      </w:r>
      <w:r w:rsidRPr="00DE118E">
        <w:t>for correct input-output transformation. These limitations are recorded explicitly, ensuring that downstream consumer applications and researchers can query and evaluate the model's constraints prior to operational use.</w:t>
      </w:r>
    </w:p>
    <w:tbl>
      <w:tblPr>
        <w:tblStyle w:val="TableGrid"/>
        <w:tblW w:w="0" w:type="auto"/>
        <w:tblBorders>
          <w:top w:val="single" w:sz="4" w:space="0" w:color="F4F4F4"/>
          <w:left w:val="single" w:sz="4" w:space="0" w:color="F4F4F4"/>
          <w:bottom w:val="single" w:sz="4" w:space="0" w:color="F4F4F4"/>
          <w:right w:val="single" w:sz="4" w:space="0" w:color="F4F4F4"/>
          <w:insideH w:val="single" w:sz="4" w:space="0" w:color="F4F4F4"/>
          <w:insideV w:val="single" w:sz="4" w:space="0" w:color="F4F4F4"/>
        </w:tblBorders>
        <w:tblLook w:val="04A0" w:firstRow="1" w:lastRow="0" w:firstColumn="1" w:lastColumn="0" w:noHBand="0" w:noVBand="1"/>
      </w:tblPr>
      <w:tblGrid>
        <w:gridCol w:w="9242"/>
      </w:tblGrid>
      <w:tr w:rsidR="00F725EF" w:rsidRPr="00BF04AA" w14:paraId="12DA8DA3" w14:textId="77777777" w:rsidTr="00284B4D">
        <w:tc>
          <w:tcPr>
            <w:tcW w:w="9242" w:type="dxa"/>
          </w:tcPr>
          <w:p w14:paraId="395DDF71" w14:textId="77777777" w:rsidR="00F725EF" w:rsidRPr="00BF04AA" w:rsidRDefault="00F725EF" w:rsidP="00284B4D">
            <w:pPr>
              <w:rPr>
                <w:rFonts w:ascii="Consolas" w:hAnsi="Consolas"/>
                <w:sz w:val="17"/>
                <w:szCs w:val="17"/>
              </w:rPr>
            </w:pPr>
            <w:r w:rsidRPr="00BF04AA">
              <w:rPr>
                <w:rFonts w:ascii="Consolas" w:hAnsi="Consolas"/>
                <w:sz w:val="17"/>
                <w:szCs w:val="17"/>
              </w:rPr>
              <w:t>@prefix MLDCAT: &lt;https://semiceu.github.io/MLDCAT-AP/releases/2.0.0/&gt; .</w:t>
            </w:r>
          </w:p>
          <w:p w14:paraId="6151CFEF" w14:textId="77777777" w:rsidR="00F725EF" w:rsidRPr="00BF04AA" w:rsidRDefault="00F725EF" w:rsidP="00284B4D">
            <w:pPr>
              <w:rPr>
                <w:rFonts w:ascii="Consolas" w:hAnsi="Consolas"/>
                <w:sz w:val="17"/>
                <w:szCs w:val="17"/>
              </w:rPr>
            </w:pPr>
            <w:r w:rsidRPr="00BF04AA">
              <w:rPr>
                <w:rFonts w:ascii="Consolas" w:hAnsi="Consolas"/>
                <w:sz w:val="17"/>
                <w:szCs w:val="17"/>
              </w:rPr>
              <w:t>&lt;https://shehabeldeenayman.github.io/Gent-Terneuzen-canal/forecaster_v2&gt;</w:t>
            </w:r>
          </w:p>
          <w:p w14:paraId="1AA2F485" w14:textId="77777777" w:rsidR="00F725EF" w:rsidRPr="00BF04AA" w:rsidRDefault="00F725EF" w:rsidP="00284B4D">
            <w:pPr>
              <w:rPr>
                <w:rFonts w:ascii="Consolas" w:hAnsi="Consolas"/>
                <w:sz w:val="17"/>
                <w:szCs w:val="17"/>
              </w:rPr>
            </w:pPr>
            <w:r w:rsidRPr="00BF04AA">
              <w:rPr>
                <w:rFonts w:ascii="Consolas" w:hAnsi="Consolas"/>
                <w:sz w:val="17"/>
                <w:szCs w:val="17"/>
              </w:rPr>
              <w:t xml:space="preserve">    a MLDCAT:MachineLearningModel ;</w:t>
            </w:r>
          </w:p>
          <w:p w14:paraId="788B4CFB" w14:textId="77777777" w:rsidR="00F725EF" w:rsidRPr="00BF04AA" w:rsidRDefault="00F725EF" w:rsidP="00284B4D">
            <w:pPr>
              <w:rPr>
                <w:rFonts w:ascii="Consolas" w:hAnsi="Consolas"/>
                <w:sz w:val="17"/>
                <w:szCs w:val="17"/>
              </w:rPr>
            </w:pPr>
            <w:r w:rsidRPr="00BF04AA">
              <w:rPr>
                <w:rFonts w:ascii="Consolas" w:hAnsi="Consolas"/>
                <w:sz w:val="17"/>
                <w:szCs w:val="17"/>
              </w:rPr>
              <w:t xml:space="preserve">    dcterms:title "LSTM Seq2Seq Water Conductivity Forecaster v2" ;</w:t>
            </w:r>
          </w:p>
          <w:p w14:paraId="13154201" w14:textId="77777777" w:rsidR="00F725EF" w:rsidRPr="00BF04AA" w:rsidRDefault="00F725EF" w:rsidP="00284B4D">
            <w:pPr>
              <w:rPr>
                <w:rFonts w:ascii="Consolas" w:hAnsi="Consolas"/>
                <w:sz w:val="17"/>
                <w:szCs w:val="17"/>
              </w:rPr>
            </w:pPr>
            <w:r w:rsidRPr="00BF04AA">
              <w:rPr>
                <w:rFonts w:ascii="Consolas" w:hAnsi="Consolas"/>
                <w:sz w:val="17"/>
                <w:szCs w:val="17"/>
              </w:rPr>
              <w:t xml:space="preserve">    MLDCAT:hasOutputFilePrediction &lt;.../model.json&gt; ;</w:t>
            </w:r>
          </w:p>
          <w:p w14:paraId="3191EDEA" w14:textId="77777777" w:rsidR="00F725EF" w:rsidRPr="00BF04AA" w:rsidRDefault="00F725EF" w:rsidP="00284B4D">
            <w:pPr>
              <w:rPr>
                <w:rFonts w:ascii="Consolas" w:hAnsi="Consolas"/>
                <w:sz w:val="17"/>
                <w:szCs w:val="17"/>
              </w:rPr>
            </w:pPr>
            <w:r w:rsidRPr="00BF04AA">
              <w:rPr>
                <w:rFonts w:ascii="Consolas" w:hAnsi="Consolas"/>
                <w:sz w:val="17"/>
                <w:szCs w:val="17"/>
              </w:rPr>
              <w:lastRenderedPageBreak/>
              <w:t xml:space="preserve">    MLDCAT:hasUploader &lt;https://github.com/shehabeldeenayman&gt; ;</w:t>
            </w:r>
          </w:p>
          <w:p w14:paraId="466103C6" w14:textId="77777777" w:rsidR="00F725EF" w:rsidRPr="00BF04AA" w:rsidRDefault="00F725EF" w:rsidP="00284B4D">
            <w:pPr>
              <w:rPr>
                <w:rFonts w:ascii="Consolas" w:hAnsi="Consolas"/>
                <w:sz w:val="17"/>
                <w:szCs w:val="17"/>
              </w:rPr>
            </w:pPr>
          </w:p>
        </w:tc>
      </w:tr>
    </w:tbl>
    <w:p w14:paraId="65785D5C" w14:textId="77777777" w:rsidR="00F725EF" w:rsidRPr="007E0279" w:rsidRDefault="00F725EF" w:rsidP="00F725EF">
      <w:pPr>
        <w:pStyle w:val="Caption"/>
        <w:jc w:val="center"/>
      </w:pPr>
      <w:r w:rsidRPr="007E0279">
        <w:lastRenderedPageBreak/>
        <w:t xml:space="preserve">Listing </w:t>
      </w:r>
      <w:r>
        <w:fldChar w:fldCharType="begin"/>
      </w:r>
      <w:r>
        <w:instrText>SEQ Listing \* ARABIC</w:instrText>
      </w:r>
      <w:r>
        <w:fldChar w:fldCharType="separate"/>
      </w:r>
      <w:r w:rsidRPr="007E0279">
        <w:rPr>
          <w:noProof/>
        </w:rPr>
        <w:t>1</w:t>
      </w:r>
      <w:r>
        <w:fldChar w:fldCharType="end"/>
      </w:r>
      <w:r w:rsidRPr="007E0279">
        <w:t xml:space="preserve"> Abbreviated MLDCAT-AP RDF Turtle metadata for the forecaster</w:t>
      </w:r>
    </w:p>
    <w:p w14:paraId="43FD5DD7" w14:textId="38EA89AD" w:rsidR="009239BA" w:rsidRDefault="009B5FFF" w:rsidP="009B5FFF">
      <w:pPr>
        <w:pStyle w:val="Heading1"/>
      </w:pPr>
      <w:r>
        <w:t>Results and Discussion</w:t>
      </w:r>
    </w:p>
    <w:p w14:paraId="6E5777EE" w14:textId="0DDFBB24" w:rsidR="004A365F" w:rsidRPr="00E54EA7" w:rsidRDefault="004A365F" w:rsidP="00985287">
      <w:pPr>
        <w:pStyle w:val="Heading1"/>
      </w:pPr>
      <w:commentRangeStart w:id="10"/>
      <w:r>
        <w:t>Conclusion</w:t>
      </w:r>
      <w:commentRangeEnd w:id="10"/>
      <w:r w:rsidRPr="00E54EA7">
        <w:rPr>
          <w:rStyle w:val="CommentReference"/>
          <w:sz w:val="40"/>
          <w:szCs w:val="40"/>
        </w:rPr>
        <w:commentReference w:id="10"/>
      </w:r>
    </w:p>
    <w:p w14:paraId="7280E852" w14:textId="10E0EE73" w:rsidR="0076489A" w:rsidRDefault="00C65220" w:rsidP="0076489A">
      <w:pPr>
        <w:pStyle w:val="Heading1"/>
      </w:pPr>
      <w:r>
        <w:t>References</w:t>
      </w:r>
    </w:p>
    <w:p w14:paraId="275999FD" w14:textId="77777777" w:rsidR="00F45C65" w:rsidRPr="00F45C65" w:rsidRDefault="00C65220" w:rsidP="00F45C65">
      <w:pPr>
        <w:pStyle w:val="Bibliography"/>
      </w:pPr>
      <w:r>
        <w:fldChar w:fldCharType="begin"/>
      </w:r>
      <w:r w:rsidR="00F45C65">
        <w:instrText xml:space="preserve"> ADDIN ZOTERO_BIBL {"uncited":[],"omitted":[],"custom":[]} CSL_BIBLIOGRAPHY </w:instrText>
      </w:r>
      <w:r>
        <w:fldChar w:fldCharType="separate"/>
      </w:r>
      <w:r w:rsidR="00F45C65" w:rsidRPr="00F45C65">
        <w:t>[1]</w:t>
      </w:r>
      <w:r w:rsidR="00F45C65" w:rsidRPr="00F45C65">
        <w:tab/>
        <w:t>M. van I. en Waterstaat, “New Lock Terneuzen fully operational from 1 August 2025.” Accessed: Aug. 11, 2026. [Online]. Available: https://www.rijkswaterstaat.nl/en/news/archive/2025/09/new-lock-terneuzen-fully-operational-from-1-august-2025</w:t>
      </w:r>
    </w:p>
    <w:p w14:paraId="337551B5" w14:textId="77777777" w:rsidR="00F45C65" w:rsidRPr="00F45C65" w:rsidRDefault="00F45C65" w:rsidP="00F45C65">
      <w:pPr>
        <w:pStyle w:val="Bibliography"/>
      </w:pPr>
      <w:r w:rsidRPr="00F45C65">
        <w:t>[2]</w:t>
      </w:r>
      <w:r w:rsidRPr="00F45C65">
        <w:tab/>
        <w:t>“Involved from start to finish | Deltares.” Accessed: Aug. 11, 2026. [Online]. Available: https://www.deltares.nl/en/stories/involved-from-start-to-finish</w:t>
      </w:r>
    </w:p>
    <w:p w14:paraId="36CC5B94" w14:textId="77777777" w:rsidR="00F45C65" w:rsidRPr="00F45C65" w:rsidRDefault="00F45C65" w:rsidP="00F45C65">
      <w:pPr>
        <w:pStyle w:val="Bibliography"/>
      </w:pPr>
      <w:r w:rsidRPr="00F45C65">
        <w:rPr>
          <w:lang w:val="nl-NL"/>
        </w:rPr>
        <w:t>[3]</w:t>
      </w:r>
      <w:r w:rsidRPr="00F45C65">
        <w:rPr>
          <w:lang w:val="nl-NL"/>
        </w:rPr>
        <w:tab/>
        <w:t xml:space="preserve">“Droogte KGT achtergronden en resultaten werkgroep,” VNSC. </w:t>
      </w:r>
      <w:r w:rsidRPr="00F45C65">
        <w:t>Accessed: Aug. 11, 2026. [Online]. Available: https://vnsc.eu/droogte-kgt-achtergronden-en-resultaten-werkgroep/</w:t>
      </w:r>
    </w:p>
    <w:p w14:paraId="58E219E6" w14:textId="77777777" w:rsidR="00F45C65" w:rsidRPr="00F45C65" w:rsidRDefault="00F45C65" w:rsidP="00F45C65">
      <w:pPr>
        <w:pStyle w:val="Bibliography"/>
      </w:pPr>
      <w:r w:rsidRPr="00F45C65">
        <w:t>[4]</w:t>
      </w:r>
      <w:r w:rsidRPr="00F45C65">
        <w:tab/>
        <w:t>“Essay - Assessing the efficiency of mitigation measures for saltwater intrusion in man-made canals: A comprehensive modelling study of the Ghent-Terneuzen canal.” Accessed: Aug. 11, 2026. [Online]. Available: https://essay.utwente.nl/</w:t>
      </w:r>
    </w:p>
    <w:p w14:paraId="7508844A" w14:textId="77777777" w:rsidR="00F45C65" w:rsidRPr="00F45C65" w:rsidRDefault="00F45C65" w:rsidP="00F45C65">
      <w:pPr>
        <w:pStyle w:val="Bibliography"/>
      </w:pPr>
      <w:r w:rsidRPr="00F45C65">
        <w:t>[5]</w:t>
      </w:r>
      <w:r w:rsidRPr="00F45C65">
        <w:tab/>
        <w:t>“Klaar voor de toekomst! | Nieuwe Sluis Terneuzen.” Accessed: Aug. 11, 2026. [Online]. Available: https://abx03.sitearchief.nl/nieuwesluisterneuzen/20251214043412oe_/https://nieuwesluisterneuzen.eu/</w:t>
      </w:r>
    </w:p>
    <w:p w14:paraId="62C7EEC3" w14:textId="77777777" w:rsidR="00F45C65" w:rsidRPr="00F45C65" w:rsidRDefault="00F45C65" w:rsidP="00F45C65">
      <w:pPr>
        <w:pStyle w:val="Bibliography"/>
      </w:pPr>
      <w:r w:rsidRPr="00F45C65">
        <w:t>[6]</w:t>
      </w:r>
      <w:r w:rsidRPr="00F45C65">
        <w:tab/>
        <w:t xml:space="preserve">D. Quintana, L. C. Felix-Herran, J. C. Tudon-Martinez, and J. de J. Lozoya-Santos, “On Smart Water System Developments: A Systematic Review,” </w:t>
      </w:r>
      <w:r w:rsidRPr="00F45C65">
        <w:rPr>
          <w:i/>
          <w:iCs/>
        </w:rPr>
        <w:t>Water</w:t>
      </w:r>
      <w:r w:rsidRPr="00F45C65">
        <w:t>, vol. 17, no. 17, p. 2571, Jan. 2025, doi: 10.3390/w17172571.</w:t>
      </w:r>
    </w:p>
    <w:p w14:paraId="2B1F8DA0" w14:textId="77777777" w:rsidR="00F45C65" w:rsidRPr="00F45C65" w:rsidRDefault="00F45C65" w:rsidP="00F45C65">
      <w:pPr>
        <w:pStyle w:val="Bibliography"/>
      </w:pPr>
      <w:r w:rsidRPr="00F45C65">
        <w:t>[7]</w:t>
      </w:r>
      <w:r w:rsidRPr="00F45C65">
        <w:tab/>
        <w:t xml:space="preserve">E. Clifford </w:t>
      </w:r>
      <w:r w:rsidRPr="00F45C65">
        <w:rPr>
          <w:i/>
          <w:iCs/>
        </w:rPr>
        <w:t>et al.</w:t>
      </w:r>
      <w:r w:rsidRPr="00F45C65">
        <w:t xml:space="preserve">, “Interactive Water Services: The WATERNOMICS Approach,” </w:t>
      </w:r>
      <w:r w:rsidRPr="00F45C65">
        <w:rPr>
          <w:i/>
          <w:iCs/>
        </w:rPr>
        <w:t>Procedia Eng.</w:t>
      </w:r>
      <w:r w:rsidRPr="00F45C65">
        <w:t>, vol. 89, pp. 1058–1065, Jan. 2014, doi: 10.1016/j.proeng.2014.11.225.</w:t>
      </w:r>
    </w:p>
    <w:p w14:paraId="74890458" w14:textId="77777777" w:rsidR="00F45C65" w:rsidRPr="00F45C65" w:rsidRDefault="00F45C65" w:rsidP="00F45C65">
      <w:pPr>
        <w:pStyle w:val="Bibliography"/>
      </w:pPr>
      <w:r w:rsidRPr="00F45C65">
        <w:t>[8]</w:t>
      </w:r>
      <w:r w:rsidRPr="00F45C65">
        <w:tab/>
        <w:t xml:space="preserve">E. Curry, W. Derguech, S. Hasan, C. Kouroupetroglou, and U. ul Hassan, “A Real-time Linked Dataspace for the Internet of Things: Enabling ‘Pay-As-You-Go’ Data Management in Smart Environments,” </w:t>
      </w:r>
      <w:r w:rsidRPr="00F45C65">
        <w:rPr>
          <w:i/>
          <w:iCs/>
        </w:rPr>
        <w:t>Future Gener. Comput. Syst.</w:t>
      </w:r>
      <w:r w:rsidRPr="00F45C65">
        <w:t>, vol. 90, pp. 405–422, Jan. 2019, doi: 10.1016/j.future.2018.07.019.</w:t>
      </w:r>
    </w:p>
    <w:p w14:paraId="4778A046" w14:textId="77777777" w:rsidR="00F45C65" w:rsidRPr="00F45C65" w:rsidRDefault="00F45C65" w:rsidP="00F45C65">
      <w:pPr>
        <w:pStyle w:val="Bibliography"/>
      </w:pPr>
      <w:r w:rsidRPr="00F45C65">
        <w:t>[9]</w:t>
      </w:r>
      <w:r w:rsidRPr="00F45C65">
        <w:tab/>
        <w:t xml:space="preserve">H. A. Hamzeh, A. Zahra, and N. T. Mohammad, “A comparative study between time series and soft computing models for river discharge forecasting,” </w:t>
      </w:r>
      <w:r w:rsidRPr="00F45C65">
        <w:rPr>
          <w:i/>
          <w:iCs/>
        </w:rPr>
        <w:t>Appl. Water Sci.</w:t>
      </w:r>
      <w:r w:rsidRPr="00F45C65">
        <w:t>, vol. 15, no. 11, p. 273, Oct. 2025, doi: 10.1007/s13201-025-02632-w.</w:t>
      </w:r>
    </w:p>
    <w:p w14:paraId="79A98474" w14:textId="77777777" w:rsidR="00F45C65" w:rsidRPr="00F45C65" w:rsidRDefault="00F45C65" w:rsidP="00F45C65">
      <w:pPr>
        <w:pStyle w:val="Bibliography"/>
      </w:pPr>
      <w:r w:rsidRPr="00F45C65">
        <w:t>[10]</w:t>
      </w:r>
      <w:r w:rsidRPr="00F45C65">
        <w:tab/>
        <w:t xml:space="preserve">A. Danandeh Mehr, S. Ghadimi, H. Marttila, and A. Torabi Haghighi, “A new evolutionary time series model for streamflow forecasting in boreal lake-river systems,” </w:t>
      </w:r>
      <w:r w:rsidRPr="00F45C65">
        <w:rPr>
          <w:i/>
          <w:iCs/>
        </w:rPr>
        <w:t>Theor. Appl. Climatol.</w:t>
      </w:r>
      <w:r w:rsidRPr="00F45C65">
        <w:t>, vol. 148, no. 1, pp. 255–268, Apr. 2022, doi: 10.1007/s00704-022-03939-3.</w:t>
      </w:r>
    </w:p>
    <w:p w14:paraId="774B4CF9" w14:textId="77777777" w:rsidR="00F45C65" w:rsidRPr="00F45C65" w:rsidRDefault="00F45C65" w:rsidP="00F45C65">
      <w:pPr>
        <w:pStyle w:val="Bibliography"/>
      </w:pPr>
      <w:r w:rsidRPr="00F45C65">
        <w:t>[11]</w:t>
      </w:r>
      <w:r w:rsidRPr="00F45C65">
        <w:tab/>
        <w:t xml:space="preserve">M. Atiquzzaman and J. Kandasamy, “Prediction of hydrological time-series using extreme learning machine,” </w:t>
      </w:r>
      <w:r w:rsidRPr="00F45C65">
        <w:rPr>
          <w:i/>
          <w:iCs/>
        </w:rPr>
        <w:t>J. Hydroinformatics</w:t>
      </w:r>
      <w:r w:rsidRPr="00F45C65">
        <w:t>, vol. 18, no. 2, pp. 345–353, Oct. 2015, doi: 10.2166/hydro.2015.020.</w:t>
      </w:r>
    </w:p>
    <w:p w14:paraId="1ED4EFF5" w14:textId="77777777" w:rsidR="00F45C65" w:rsidRPr="00F45C65" w:rsidRDefault="00F45C65" w:rsidP="00F45C65">
      <w:pPr>
        <w:pStyle w:val="Bibliography"/>
      </w:pPr>
      <w:r w:rsidRPr="00F45C65">
        <w:lastRenderedPageBreak/>
        <w:t>[12]</w:t>
      </w:r>
      <w:r w:rsidRPr="00F45C65">
        <w:tab/>
        <w:t>“Time Series Data Mining in Real Time Surface Runoff Forecasting Through Support Vector Machine - AMiner.” Accessed: Aug. 10, 2026. [Online]. Available: https://www.aminer.cn/pub/56d92470dabfae2eeeb238c3</w:t>
      </w:r>
    </w:p>
    <w:p w14:paraId="6A065B73" w14:textId="77777777" w:rsidR="00F45C65" w:rsidRPr="00F45C65" w:rsidRDefault="00F45C65" w:rsidP="00F45C65">
      <w:pPr>
        <w:pStyle w:val="Bibliography"/>
      </w:pPr>
      <w:r w:rsidRPr="00F45C65">
        <w:t>[13]</w:t>
      </w:r>
      <w:r w:rsidRPr="00F45C65">
        <w:tab/>
        <w:t xml:space="preserve">A. Verwey, “Hydroinformatics support to flood forecasting and flood management,” in </w:t>
      </w:r>
      <w:r w:rsidRPr="00F45C65">
        <w:rPr>
          <w:i/>
          <w:iCs/>
        </w:rPr>
        <w:t>IAHS-AISH publication</w:t>
      </w:r>
      <w:r w:rsidRPr="00F45C65">
        <w:t>, 2007, pp. 23–36. Accessed: Aug. 10, 2026. [Online]. Available: http://pascal-francis.inist.fr/vibad/index.php?action=getRecordDetail&amp;idt=18901221</w:t>
      </w:r>
    </w:p>
    <w:p w14:paraId="10EF35A1" w14:textId="77777777" w:rsidR="00F45C65" w:rsidRPr="00F45C65" w:rsidRDefault="00F45C65" w:rsidP="00F45C65">
      <w:pPr>
        <w:pStyle w:val="Bibliography"/>
      </w:pPr>
      <w:r w:rsidRPr="00F45C65">
        <w:t>[14]</w:t>
      </w:r>
      <w:r w:rsidRPr="00F45C65">
        <w:tab/>
        <w:t>“Vlaamse Milieumaatschappij.” Accessed: Aug. 12, 2026. [Online]. Available: https://vmm.vlaanderen.be</w:t>
      </w:r>
    </w:p>
    <w:p w14:paraId="43E915B7" w14:textId="77777777" w:rsidR="00F45C65" w:rsidRPr="00F45C65" w:rsidRDefault="00F45C65" w:rsidP="00F45C65">
      <w:pPr>
        <w:pStyle w:val="Bibliography"/>
      </w:pPr>
      <w:r w:rsidRPr="00F45C65">
        <w:t>[15]</w:t>
      </w:r>
      <w:r w:rsidRPr="00F45C65">
        <w:tab/>
        <w:t>A. Dimou, M. V. Sande, P. Colpaert, R. Verborgh, E. Mannens, and R. Walle, “RML: A Generic Language for Integrated RDF Mappings of Heterogeneous Data,” presented at the LDOW, 2014. Accessed: Aug. 12, 2026. [Online]. Available: https://www.semanticscholar.org/paper/RML%3A-A-Generic-Language-for-Integrated-RDF-Mappings-Dimou-Sande/f0b98c4fc3a542a83349666f4073359ed56d1a17</w:t>
      </w:r>
    </w:p>
    <w:p w14:paraId="5FF2D81C" w14:textId="77777777" w:rsidR="00F45C65" w:rsidRPr="00F45C65" w:rsidRDefault="00F45C65" w:rsidP="00F45C65">
      <w:pPr>
        <w:pStyle w:val="Bibliography"/>
      </w:pPr>
      <w:r w:rsidRPr="00F45C65">
        <w:t>[16]</w:t>
      </w:r>
      <w:r w:rsidRPr="00F45C65">
        <w:tab/>
        <w:t xml:space="preserve">K. Janowicz, A. Haller, S. J. D. Cox, D. Le Phuoc, and M. Lefrançois, “SOSA: A lightweight ontology for sensors, observations, samples, and actuators,” </w:t>
      </w:r>
      <w:r w:rsidRPr="00F45C65">
        <w:rPr>
          <w:i/>
          <w:iCs/>
        </w:rPr>
        <w:t>J. Web Semant.</w:t>
      </w:r>
      <w:r w:rsidRPr="00F45C65">
        <w:t>, vol. 56, pp. 1–10, May 2019, doi: 10.1016/j.websem.2018.06.003.</w:t>
      </w:r>
    </w:p>
    <w:p w14:paraId="025980B8" w14:textId="77777777" w:rsidR="00F45C65" w:rsidRPr="00F45C65" w:rsidRDefault="00F45C65" w:rsidP="00F45C65">
      <w:pPr>
        <w:pStyle w:val="Bibliography"/>
      </w:pPr>
      <w:r w:rsidRPr="00F45C65">
        <w:t>[17]</w:t>
      </w:r>
      <w:r w:rsidRPr="00F45C65">
        <w:tab/>
        <w:t>“Quantities, Units, Dimensions and Types | FAIRsharing.” Accessed: Aug. 12, 2026. [Online]. Available: https://fairsharing.org/10.25504/FAIRsharing.d3pqw7</w:t>
      </w:r>
    </w:p>
    <w:p w14:paraId="3EABBE74" w14:textId="77777777" w:rsidR="00F45C65" w:rsidRPr="00F45C65" w:rsidRDefault="00F45C65" w:rsidP="00F45C65">
      <w:pPr>
        <w:pStyle w:val="Bibliography"/>
      </w:pPr>
      <w:r w:rsidRPr="00F45C65">
        <w:t>[18]</w:t>
      </w:r>
      <w:r w:rsidRPr="00F45C65">
        <w:tab/>
        <w:t xml:space="preserve">F. Martín-Recuerda </w:t>
      </w:r>
      <w:r w:rsidRPr="00F45C65">
        <w:rPr>
          <w:i/>
          <w:iCs/>
        </w:rPr>
        <w:t>et al.</w:t>
      </w:r>
      <w:r w:rsidRPr="00F45C65">
        <w:t xml:space="preserve">, “Revisiting Ontologies of Units of Measure for Harmonising Quantity Values – A Use Case,” in </w:t>
      </w:r>
      <w:r w:rsidRPr="00F45C65">
        <w:rPr>
          <w:i/>
          <w:iCs/>
        </w:rPr>
        <w:t>The Semantic Web – ISWC 2020</w:t>
      </w:r>
      <w:r w:rsidRPr="00F45C65">
        <w:t>, J. Z. Pan, V. Tamma, C. d’Amato, K. Janowicz, B. Fu, A. Polleres, O. Seneviratne, and L. Kagal, Eds., Cham: Springer International Publishing, 2020, pp. 551–567. doi: 10.1007/978-3-030-62466-8_34.</w:t>
      </w:r>
    </w:p>
    <w:p w14:paraId="5DB6370A" w14:textId="77777777" w:rsidR="00F45C65" w:rsidRPr="00F45C65" w:rsidRDefault="00F45C65" w:rsidP="00F45C65">
      <w:pPr>
        <w:pStyle w:val="Bibliography"/>
      </w:pPr>
      <w:r w:rsidRPr="00F45C65">
        <w:t>[19]</w:t>
      </w:r>
      <w:r w:rsidRPr="00F45C65">
        <w:tab/>
        <w:t>“Shapes Constraint Language (SHACL).” Accessed: Aug. 12, 2026. [Online]. Available: https://www.w3.org/TR/shacl/</w:t>
      </w:r>
    </w:p>
    <w:p w14:paraId="48958D02" w14:textId="3933BE35" w:rsidR="00C65220" w:rsidRPr="00C65220" w:rsidRDefault="00C65220" w:rsidP="00C65220">
      <w:r>
        <w:fldChar w:fldCharType="end"/>
      </w:r>
    </w:p>
    <w:sectPr w:rsidR="00C65220" w:rsidRPr="00C652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hab Ayman" w:date="2026-08-24T10:24:00Z" w:initials="SA">
    <w:p w14:paraId="4CC49EB9" w14:textId="3BCC0DEE" w:rsidR="002D0CDD" w:rsidRDefault="002D0CDD">
      <w:pPr>
        <w:pStyle w:val="CommentText"/>
      </w:pPr>
      <w:r>
        <w:rPr>
          <w:rStyle w:val="CommentReference"/>
        </w:rPr>
        <w:annotationRef/>
      </w:r>
      <w:r w:rsidRPr="675814D0">
        <w:t>LSTM and TCN architectural details differ between sections.</w:t>
      </w:r>
    </w:p>
  </w:comment>
  <w:comment w:id="1" w:author="Shehab Ayman" w:date="2026-08-24T10:25:00Z" w:initials="SA">
    <w:p w14:paraId="5D27A291" w14:textId="2C424DE8" w:rsidR="002D0CDD" w:rsidRDefault="002D0CDD">
      <w:pPr>
        <w:pStyle w:val="CommentText"/>
      </w:pPr>
      <w:r>
        <w:rPr>
          <w:rStyle w:val="CommentReference"/>
        </w:rPr>
        <w:annotationRef/>
      </w:r>
      <w:r w:rsidRPr="14545CC5">
        <w:t>MLDCAT-AP does not correctly describe the current neural net architecture.</w:t>
      </w:r>
    </w:p>
  </w:comment>
  <w:comment w:id="2" w:author="Shehab Ayman" w:date="2026-08-19T16:16:00Z" w:initials="SA">
    <w:p w14:paraId="0AB3EAEB" w14:textId="29FDED8A" w:rsidR="003E5632" w:rsidRDefault="002D0CDD">
      <w:pPr>
        <w:pStyle w:val="CommentText"/>
      </w:pPr>
      <w:r>
        <w:rPr>
          <w:rStyle w:val="CommentReference"/>
        </w:rPr>
        <w:annotationRef/>
      </w:r>
      <w:r w:rsidRPr="732AD64E">
        <w:t>Caption</w:t>
      </w:r>
    </w:p>
  </w:comment>
  <w:comment w:id="4" w:author="Shehab Ayman" w:date="2026-08-19T15:34:00Z" w:initials="SA">
    <w:p w14:paraId="025EC4D0" w14:textId="3077387A" w:rsidR="003E5632" w:rsidRDefault="002D0CDD">
      <w:pPr>
        <w:pStyle w:val="CommentText"/>
      </w:pPr>
      <w:r>
        <w:rPr>
          <w:rStyle w:val="CommentReference"/>
        </w:rPr>
        <w:annotationRef/>
      </w:r>
      <w:r w:rsidRPr="024047B8">
        <w:t>write the english equivalent</w:t>
      </w:r>
    </w:p>
  </w:comment>
  <w:comment w:id="5" w:author="Shehab Ayman" w:date="2026-08-19T15:34:00Z" w:initials="SA">
    <w:p w14:paraId="21DBFEE5" w14:textId="3278F55A" w:rsidR="003E5632" w:rsidRDefault="002D0CDD">
      <w:pPr>
        <w:pStyle w:val="CommentText"/>
      </w:pPr>
      <w:r>
        <w:rPr>
          <w:rStyle w:val="CommentReference"/>
        </w:rPr>
        <w:annotationRef/>
      </w:r>
      <w:r w:rsidRPr="4E2FDD1C">
        <w:t>refernece</w:t>
      </w:r>
    </w:p>
  </w:comment>
  <w:comment w:id="7" w:author="Shehab.Ayman" w:date="2026-08-19T11:02:00Z" w:initials="SA">
    <w:p w14:paraId="5CC211C9" w14:textId="77777777" w:rsidR="00F725EF" w:rsidRDefault="00F725EF" w:rsidP="00F725EF">
      <w:pPr>
        <w:pStyle w:val="CommentText"/>
        <w:jc w:val="left"/>
      </w:pPr>
      <w:r>
        <w:rPr>
          <w:rStyle w:val="CommentReference"/>
        </w:rPr>
        <w:annotationRef/>
      </w:r>
      <w:r>
        <w:t>Should we mention the whole unit measurement transformation using QUDT?</w:t>
      </w:r>
    </w:p>
  </w:comment>
  <w:comment w:id="6" w:author="Shehab Ayman" w:date="2026-08-19T15:51:00Z" w:initials="SA">
    <w:p w14:paraId="17358A91" w14:textId="61167ED5" w:rsidR="003E5632" w:rsidRDefault="002D0CDD">
      <w:pPr>
        <w:pStyle w:val="CommentText"/>
      </w:pPr>
      <w:r>
        <w:rPr>
          <w:rStyle w:val="CommentReference"/>
        </w:rPr>
        <w:annotationRef/>
      </w:r>
      <w:r w:rsidRPr="30FEC4A8">
        <w:t>add a sample of the mapping</w:t>
      </w:r>
    </w:p>
  </w:comment>
  <w:comment w:id="8" w:author="Shehab Ayman" w:date="2026-08-19T15:52:00Z" w:initials="SA">
    <w:p w14:paraId="3C8EB2C3" w14:textId="07F06E99" w:rsidR="003E5632" w:rsidRDefault="002D0CDD">
      <w:pPr>
        <w:pStyle w:val="CommentText"/>
      </w:pPr>
      <w:r>
        <w:rPr>
          <w:rStyle w:val="CommentReference"/>
        </w:rPr>
        <w:annotationRef/>
      </w:r>
      <w:r w:rsidRPr="0D3C856C">
        <w:t>add sample of shacl??</w:t>
      </w:r>
    </w:p>
  </w:comment>
  <w:comment w:id="9" w:author="Shehab.Ayman" w:date="2026-08-19T10:45:00Z" w:initials="SA">
    <w:p w14:paraId="1233FDFB" w14:textId="77777777" w:rsidR="007D5E9F" w:rsidRDefault="007D5E9F" w:rsidP="007D5E9F">
      <w:pPr>
        <w:pStyle w:val="CommentText"/>
        <w:jc w:val="left"/>
      </w:pPr>
      <w:r>
        <w:rPr>
          <w:rStyle w:val="CommentReference"/>
        </w:rPr>
        <w:annotationRef/>
      </w:r>
      <w:r>
        <w:t>Should probably add a reference per each technique</w:t>
      </w:r>
    </w:p>
  </w:comment>
  <w:comment w:id="10" w:author="Shehab.Ayman" w:date="2026-08-18T18:51:00Z" w:initials="SA">
    <w:p w14:paraId="7030318F" w14:textId="77777777" w:rsidR="004A365F" w:rsidRDefault="004A365F" w:rsidP="00AF7178">
      <w:pPr>
        <w:pStyle w:val="CommentText"/>
      </w:pPr>
      <w:r>
        <w:rPr>
          <w:rStyle w:val="CommentReference"/>
        </w:rPr>
        <w:annotationRef/>
      </w:r>
      <w:r>
        <w:t>We should highlight the semantic gain of actually being able to combine the data and add any data in the future based on the knowledge graph structure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C49EB9" w15:done="0"/>
  <w15:commentEx w15:paraId="5D27A291" w15:done="0"/>
  <w15:commentEx w15:paraId="0AB3EAEB" w15:done="0"/>
  <w15:commentEx w15:paraId="025EC4D0" w15:done="0"/>
  <w15:commentEx w15:paraId="21DBFEE5" w15:done="0"/>
  <w15:commentEx w15:paraId="5CC211C9" w15:done="0"/>
  <w15:commentEx w15:paraId="17358A91" w15:done="0"/>
  <w15:commentEx w15:paraId="3C8EB2C3" w15:done="0"/>
  <w15:commentEx w15:paraId="1233FDFB" w15:done="0"/>
  <w15:commentEx w15:paraId="703031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747D17" w16cex:dateUtc="2026-08-24T08:24:00Z"/>
  <w16cex:commentExtensible w16cex:durableId="50A1823C" w16cex:dateUtc="2026-08-24T08:25:00Z"/>
  <w16cex:commentExtensible w16cex:durableId="433D48DF" w16cex:dateUtc="2026-08-19T14:16:00Z"/>
  <w16cex:commentExtensible w16cex:durableId="367E6BDB" w16cex:dateUtc="2026-08-19T13:34:00Z"/>
  <w16cex:commentExtensible w16cex:durableId="27DBDAF5" w16cex:dateUtc="2026-08-19T13:34:00Z"/>
  <w16cex:commentExtensible w16cex:durableId="53F8F1DC" w16cex:dateUtc="2026-08-19T09:02:00Z"/>
  <w16cex:commentExtensible w16cex:durableId="60494427" w16cex:dateUtc="2026-08-19T13:51:00Z"/>
  <w16cex:commentExtensible w16cex:durableId="33B74FA2" w16cex:dateUtc="2026-08-19T13:52:00Z"/>
  <w16cex:commentExtensible w16cex:durableId="73BE09E2" w16cex:dateUtc="2026-08-19T08:45:00Z"/>
  <w16cex:commentExtensible w16cex:durableId="26A810C7" w16cex:dateUtc="2026-08-18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C49EB9" w16cid:durableId="01747D17"/>
  <w16cid:commentId w16cid:paraId="5D27A291" w16cid:durableId="50A1823C"/>
  <w16cid:commentId w16cid:paraId="0AB3EAEB" w16cid:durableId="433D48DF"/>
  <w16cid:commentId w16cid:paraId="025EC4D0" w16cid:durableId="367E6BDB"/>
  <w16cid:commentId w16cid:paraId="21DBFEE5" w16cid:durableId="27DBDAF5"/>
  <w16cid:commentId w16cid:paraId="5CC211C9" w16cid:durableId="53F8F1DC"/>
  <w16cid:commentId w16cid:paraId="17358A91" w16cid:durableId="60494427"/>
  <w16cid:commentId w16cid:paraId="3C8EB2C3" w16cid:durableId="33B74FA2"/>
  <w16cid:commentId w16cid:paraId="1233FDFB" w16cid:durableId="73BE09E2"/>
  <w16cid:commentId w16cid:paraId="7030318F" w16cid:durableId="26A810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C86B7" w14:textId="77777777" w:rsidR="002D0CDD" w:rsidRDefault="002D0CDD" w:rsidP="00B901BA">
      <w:pPr>
        <w:spacing w:after="0" w:line="240" w:lineRule="auto"/>
      </w:pPr>
      <w:r>
        <w:separator/>
      </w:r>
    </w:p>
  </w:endnote>
  <w:endnote w:type="continuationSeparator" w:id="0">
    <w:p w14:paraId="29188884" w14:textId="77777777" w:rsidR="002D0CDD" w:rsidRDefault="002D0CDD" w:rsidP="00B90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23B81" w14:textId="77777777" w:rsidR="002D0CDD" w:rsidRDefault="002D0CDD" w:rsidP="00B901BA">
      <w:pPr>
        <w:spacing w:after="0" w:line="240" w:lineRule="auto"/>
      </w:pPr>
      <w:r>
        <w:separator/>
      </w:r>
    </w:p>
  </w:footnote>
  <w:footnote w:type="continuationSeparator" w:id="0">
    <w:p w14:paraId="5CAB42E1" w14:textId="77777777" w:rsidR="002D0CDD" w:rsidRDefault="002D0CDD" w:rsidP="00B901B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W3K3ED3b" int2:invalidationBookmarkName="" int2:hashCode="dkmkRuVDysnpuX" int2:id="aeZRWptK">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3A70"/>
    <w:multiLevelType w:val="hybridMultilevel"/>
    <w:tmpl w:val="375E64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2A7F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2146E7"/>
    <w:multiLevelType w:val="singleLevel"/>
    <w:tmpl w:val="9AECE09E"/>
    <w:lvl w:ilvl="0">
      <w:start w:val="1"/>
      <w:numFmt w:val="bullet"/>
      <w:lvlText w:val="•"/>
      <w:lvlJc w:val="left"/>
      <w:pPr>
        <w:tabs>
          <w:tab w:val="num" w:pos="720"/>
        </w:tabs>
        <w:ind w:left="720" w:hanging="360"/>
      </w:pPr>
    </w:lvl>
  </w:abstractNum>
  <w:abstractNum w:abstractNumId="3" w15:restartNumberingAfterBreak="0">
    <w:nsid w:val="518778C9"/>
    <w:multiLevelType w:val="hybridMultilevel"/>
    <w:tmpl w:val="11C02FDE"/>
    <w:lvl w:ilvl="0" w:tplc="3F8418A2">
      <w:start w:val="1"/>
      <w:numFmt w:val="decimal"/>
      <w:pStyle w:val="Heading3"/>
      <w:lvlText w:val="%1."/>
      <w:lvlJc w:val="left"/>
      <w:pPr>
        <w:ind w:left="360" w:hanging="360"/>
      </w:p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84C16C2"/>
    <w:multiLevelType w:val="hybridMultilevel"/>
    <w:tmpl w:val="6616CB40"/>
    <w:lvl w:ilvl="0" w:tplc="69126DC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3321D1"/>
    <w:multiLevelType w:val="multilevel"/>
    <w:tmpl w:val="45D0C0E2"/>
    <w:lvl w:ilvl="0">
      <w:start w:val="1"/>
      <w:numFmt w:val="decimal"/>
      <w:pStyle w:val="Heading1"/>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6D3B375C"/>
    <w:multiLevelType w:val="hybridMultilevel"/>
    <w:tmpl w:val="085E4DBA"/>
    <w:lvl w:ilvl="0" w:tplc="3EBAD200">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29074738">
    <w:abstractNumId w:val="5"/>
  </w:num>
  <w:num w:numId="2" w16cid:durableId="1430537862">
    <w:abstractNumId w:val="4"/>
  </w:num>
  <w:num w:numId="3" w16cid:durableId="437221434">
    <w:abstractNumId w:val="1"/>
  </w:num>
  <w:num w:numId="4" w16cid:durableId="95441424">
    <w:abstractNumId w:val="6"/>
  </w:num>
  <w:num w:numId="5" w16cid:durableId="607274974">
    <w:abstractNumId w:val="3"/>
  </w:num>
  <w:num w:numId="6" w16cid:durableId="1796484392">
    <w:abstractNumId w:val="0"/>
  </w:num>
  <w:num w:numId="7" w16cid:durableId="1318847172">
    <w:abstractNumId w:val="2"/>
  </w:num>
  <w:num w:numId="8" w16cid:durableId="199113046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hab Ayman">
    <w15:presenceInfo w15:providerId="AD" w15:userId="S::shehab.ayman@vito.be::0bc262b0-0352-40e9-9eb1-abd6f002738d"/>
  </w15:person>
  <w15:person w15:author="Shehab.Ayman">
    <w15:presenceInfo w15:providerId="AD" w15:userId="S::Shehab.Ayman@bue.edu.eg::c7dbf212-f33d-4382-9153-3ee4212465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91B"/>
    <w:rsid w:val="000222D1"/>
    <w:rsid w:val="000C3EDE"/>
    <w:rsid w:val="00145CBB"/>
    <w:rsid w:val="0019064E"/>
    <w:rsid w:val="001B3EF7"/>
    <w:rsid w:val="001D4D5B"/>
    <w:rsid w:val="0020591B"/>
    <w:rsid w:val="00207659"/>
    <w:rsid w:val="002D0CDD"/>
    <w:rsid w:val="003028D5"/>
    <w:rsid w:val="0039124D"/>
    <w:rsid w:val="003E5632"/>
    <w:rsid w:val="003F1ACB"/>
    <w:rsid w:val="0040354E"/>
    <w:rsid w:val="004057AE"/>
    <w:rsid w:val="004914AE"/>
    <w:rsid w:val="004A365F"/>
    <w:rsid w:val="004E6A1F"/>
    <w:rsid w:val="006317A8"/>
    <w:rsid w:val="0076489A"/>
    <w:rsid w:val="00770326"/>
    <w:rsid w:val="007D5E9F"/>
    <w:rsid w:val="007E05D4"/>
    <w:rsid w:val="007E746D"/>
    <w:rsid w:val="00806EFA"/>
    <w:rsid w:val="00870721"/>
    <w:rsid w:val="008842AB"/>
    <w:rsid w:val="009239BA"/>
    <w:rsid w:val="0095417A"/>
    <w:rsid w:val="009730BA"/>
    <w:rsid w:val="00985287"/>
    <w:rsid w:val="009B5FFF"/>
    <w:rsid w:val="00A17709"/>
    <w:rsid w:val="00A502F9"/>
    <w:rsid w:val="00A76C97"/>
    <w:rsid w:val="00AD0D02"/>
    <w:rsid w:val="00B53E35"/>
    <w:rsid w:val="00B901BA"/>
    <w:rsid w:val="00BC2660"/>
    <w:rsid w:val="00C25F64"/>
    <w:rsid w:val="00C65220"/>
    <w:rsid w:val="00C92BBF"/>
    <w:rsid w:val="00CC2769"/>
    <w:rsid w:val="00CD61E2"/>
    <w:rsid w:val="00DA06C6"/>
    <w:rsid w:val="00DF36D2"/>
    <w:rsid w:val="00E4002F"/>
    <w:rsid w:val="00E54EA7"/>
    <w:rsid w:val="00E91723"/>
    <w:rsid w:val="00E95120"/>
    <w:rsid w:val="00EC6BD9"/>
    <w:rsid w:val="00F45C65"/>
    <w:rsid w:val="00F55424"/>
    <w:rsid w:val="00F725EF"/>
    <w:rsid w:val="00F86924"/>
    <w:rsid w:val="00F91ED0"/>
    <w:rsid w:val="0223E0B2"/>
    <w:rsid w:val="02BF7C0B"/>
    <w:rsid w:val="05EAFBA4"/>
    <w:rsid w:val="088E89E0"/>
    <w:rsid w:val="0A53D64A"/>
    <w:rsid w:val="0BD589A3"/>
    <w:rsid w:val="0F5F5587"/>
    <w:rsid w:val="0FBDDFD2"/>
    <w:rsid w:val="11508730"/>
    <w:rsid w:val="145141D5"/>
    <w:rsid w:val="1601994C"/>
    <w:rsid w:val="16990616"/>
    <w:rsid w:val="172EAE36"/>
    <w:rsid w:val="1BD161C4"/>
    <w:rsid w:val="25EEAAEC"/>
    <w:rsid w:val="27A2E19C"/>
    <w:rsid w:val="2939F3CD"/>
    <w:rsid w:val="2AC38F79"/>
    <w:rsid w:val="2EA9448A"/>
    <w:rsid w:val="32C746C9"/>
    <w:rsid w:val="334D8A3B"/>
    <w:rsid w:val="3372A6A2"/>
    <w:rsid w:val="379EC424"/>
    <w:rsid w:val="38A8F111"/>
    <w:rsid w:val="3E48ED8E"/>
    <w:rsid w:val="3E6F7CCF"/>
    <w:rsid w:val="3F7EBE68"/>
    <w:rsid w:val="4121DCB8"/>
    <w:rsid w:val="436A1199"/>
    <w:rsid w:val="49B44748"/>
    <w:rsid w:val="4A80B2F5"/>
    <w:rsid w:val="4D38F423"/>
    <w:rsid w:val="4D7990BD"/>
    <w:rsid w:val="54F2740B"/>
    <w:rsid w:val="5666E041"/>
    <w:rsid w:val="59B352ED"/>
    <w:rsid w:val="5A7F4149"/>
    <w:rsid w:val="5AFC2E1C"/>
    <w:rsid w:val="5D7C4326"/>
    <w:rsid w:val="5E39CD87"/>
    <w:rsid w:val="602F1788"/>
    <w:rsid w:val="60618DE3"/>
    <w:rsid w:val="618AC8D0"/>
    <w:rsid w:val="676F11CC"/>
    <w:rsid w:val="69F42656"/>
    <w:rsid w:val="6A486328"/>
    <w:rsid w:val="6A8ECF76"/>
    <w:rsid w:val="6B38FA0A"/>
    <w:rsid w:val="6EA4609F"/>
    <w:rsid w:val="74C7C827"/>
    <w:rsid w:val="7B91C8BE"/>
    <w:rsid w:val="7CDEAC2A"/>
    <w:rsid w:val="7E1CB4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547BA"/>
  <w15:chartTrackingRefBased/>
  <w15:docId w15:val="{A5FA5C85-3236-4347-BD2F-BCD0960E3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5EF"/>
    <w:pPr>
      <w:jc w:val="both"/>
    </w:pPr>
    <w:rPr>
      <w:rFonts w:ascii="Times New Roman" w:hAnsi="Times New Roman"/>
    </w:rPr>
  </w:style>
  <w:style w:type="paragraph" w:styleId="Heading1">
    <w:name w:val="heading 1"/>
    <w:basedOn w:val="Normal"/>
    <w:next w:val="Normal"/>
    <w:link w:val="Heading1Char"/>
    <w:uiPriority w:val="9"/>
    <w:qFormat/>
    <w:rsid w:val="0076489A"/>
    <w:pPr>
      <w:keepNext/>
      <w:keepLines/>
      <w:numPr>
        <w:numId w:val="1"/>
      </w:numPr>
      <w:spacing w:before="360" w:after="80"/>
      <w:outlineLvl w:val="0"/>
    </w:pPr>
    <w:rPr>
      <w:rFonts w:asciiTheme="majorBidi" w:eastAsiaTheme="majorEastAsia" w:hAnsiTheme="majorBidi" w:cstheme="majorBidi"/>
      <w:color w:val="000000" w:themeColor="text1"/>
      <w:sz w:val="40"/>
      <w:szCs w:val="40"/>
    </w:rPr>
  </w:style>
  <w:style w:type="paragraph" w:styleId="Heading2">
    <w:name w:val="heading 2"/>
    <w:basedOn w:val="Normal"/>
    <w:next w:val="Normal"/>
    <w:link w:val="Heading2Char"/>
    <w:uiPriority w:val="9"/>
    <w:unhideWhenUsed/>
    <w:qFormat/>
    <w:rsid w:val="00C65220"/>
    <w:pPr>
      <w:keepNext/>
      <w:keepLines/>
      <w:spacing w:before="160" w:after="80"/>
      <w:outlineLvl w:val="1"/>
    </w:pPr>
    <w:rPr>
      <w:rFonts w:asciiTheme="majorBidi" w:eastAsiaTheme="majorEastAsia" w:hAnsiTheme="majorBidi" w:cstheme="majorBidi"/>
      <w:color w:val="000000" w:themeColor="text1"/>
      <w:sz w:val="32"/>
      <w:szCs w:val="32"/>
    </w:rPr>
  </w:style>
  <w:style w:type="paragraph" w:styleId="Heading3">
    <w:name w:val="heading 3"/>
    <w:basedOn w:val="Normal"/>
    <w:next w:val="Normal"/>
    <w:link w:val="Heading3Char"/>
    <w:uiPriority w:val="9"/>
    <w:unhideWhenUsed/>
    <w:qFormat/>
    <w:rsid w:val="00DF36D2"/>
    <w:pPr>
      <w:keepNext/>
      <w:keepLines/>
      <w:numPr>
        <w:numId w:val="5"/>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2059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9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89A"/>
    <w:rPr>
      <w:rFonts w:asciiTheme="majorBidi" w:eastAsiaTheme="majorEastAsia" w:hAnsiTheme="majorBidi" w:cstheme="majorBidi"/>
      <w:color w:val="000000" w:themeColor="text1"/>
      <w:sz w:val="40"/>
      <w:szCs w:val="40"/>
    </w:rPr>
  </w:style>
  <w:style w:type="character" w:customStyle="1" w:styleId="Heading2Char">
    <w:name w:val="Heading 2 Char"/>
    <w:basedOn w:val="DefaultParagraphFont"/>
    <w:link w:val="Heading2"/>
    <w:uiPriority w:val="9"/>
    <w:rsid w:val="00C65220"/>
    <w:rPr>
      <w:rFonts w:asciiTheme="majorBidi" w:eastAsiaTheme="majorEastAsia" w:hAnsiTheme="majorBidi" w:cstheme="majorBidi"/>
      <w:color w:val="000000" w:themeColor="text1"/>
      <w:sz w:val="32"/>
      <w:szCs w:val="32"/>
    </w:rPr>
  </w:style>
  <w:style w:type="character" w:customStyle="1" w:styleId="Heading3Char">
    <w:name w:val="Heading 3 Char"/>
    <w:basedOn w:val="DefaultParagraphFont"/>
    <w:link w:val="Heading3"/>
    <w:uiPriority w:val="9"/>
    <w:rsid w:val="00DF36D2"/>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2059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9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91B"/>
    <w:rPr>
      <w:rFonts w:eastAsiaTheme="majorEastAsia" w:cstheme="majorBidi"/>
      <w:color w:val="272727" w:themeColor="text1" w:themeTint="D8"/>
    </w:rPr>
  </w:style>
  <w:style w:type="paragraph" w:styleId="Title">
    <w:name w:val="Title"/>
    <w:basedOn w:val="Normal"/>
    <w:next w:val="Normal"/>
    <w:link w:val="TitleChar"/>
    <w:uiPriority w:val="10"/>
    <w:qFormat/>
    <w:rsid w:val="00205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91B"/>
    <w:pPr>
      <w:spacing w:before="160"/>
      <w:jc w:val="center"/>
    </w:pPr>
    <w:rPr>
      <w:i/>
      <w:iCs/>
      <w:color w:val="404040" w:themeColor="text1" w:themeTint="BF"/>
    </w:rPr>
  </w:style>
  <w:style w:type="character" w:customStyle="1" w:styleId="QuoteChar">
    <w:name w:val="Quote Char"/>
    <w:basedOn w:val="DefaultParagraphFont"/>
    <w:link w:val="Quote"/>
    <w:uiPriority w:val="29"/>
    <w:rsid w:val="0020591B"/>
    <w:rPr>
      <w:i/>
      <w:iCs/>
      <w:color w:val="404040" w:themeColor="text1" w:themeTint="BF"/>
    </w:rPr>
  </w:style>
  <w:style w:type="paragraph" w:styleId="ListParagraph">
    <w:name w:val="List Paragraph"/>
    <w:basedOn w:val="Normal"/>
    <w:uiPriority w:val="34"/>
    <w:qFormat/>
    <w:rsid w:val="0020591B"/>
    <w:pPr>
      <w:ind w:left="720"/>
      <w:contextualSpacing/>
    </w:pPr>
  </w:style>
  <w:style w:type="character" w:styleId="IntenseEmphasis">
    <w:name w:val="Intense Emphasis"/>
    <w:basedOn w:val="DefaultParagraphFont"/>
    <w:uiPriority w:val="21"/>
    <w:qFormat/>
    <w:rsid w:val="0020591B"/>
    <w:rPr>
      <w:i/>
      <w:iCs/>
      <w:color w:val="0F4761" w:themeColor="accent1" w:themeShade="BF"/>
    </w:rPr>
  </w:style>
  <w:style w:type="paragraph" w:styleId="IntenseQuote">
    <w:name w:val="Intense Quote"/>
    <w:basedOn w:val="Normal"/>
    <w:next w:val="Normal"/>
    <w:link w:val="IntenseQuoteChar"/>
    <w:uiPriority w:val="30"/>
    <w:qFormat/>
    <w:rsid w:val="00205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91B"/>
    <w:rPr>
      <w:i/>
      <w:iCs/>
      <w:color w:val="0F4761" w:themeColor="accent1" w:themeShade="BF"/>
    </w:rPr>
  </w:style>
  <w:style w:type="character" w:styleId="IntenseReference">
    <w:name w:val="Intense Reference"/>
    <w:basedOn w:val="DefaultParagraphFont"/>
    <w:uiPriority w:val="32"/>
    <w:qFormat/>
    <w:rsid w:val="0020591B"/>
    <w:rPr>
      <w:b/>
      <w:bCs/>
      <w:smallCaps/>
      <w:color w:val="0F4761" w:themeColor="accent1" w:themeShade="BF"/>
      <w:spacing w:val="5"/>
    </w:rPr>
  </w:style>
  <w:style w:type="paragraph" w:styleId="NormalWeb">
    <w:name w:val="Normal (Web)"/>
    <w:basedOn w:val="Normal"/>
    <w:uiPriority w:val="99"/>
    <w:unhideWhenUsed/>
    <w:rsid w:val="00C65220"/>
    <w:pPr>
      <w:spacing w:before="100" w:beforeAutospacing="1" w:after="100" w:afterAutospacing="1" w:line="240" w:lineRule="auto"/>
    </w:pPr>
    <w:rPr>
      <w:rFonts w:eastAsia="Times New Roman" w:cs="Times New Roman"/>
      <w:kern w:val="0"/>
      <w14:ligatures w14:val="none"/>
    </w:rPr>
  </w:style>
  <w:style w:type="paragraph" w:styleId="Bibliography">
    <w:name w:val="Bibliography"/>
    <w:basedOn w:val="Normal"/>
    <w:next w:val="Normal"/>
    <w:uiPriority w:val="37"/>
    <w:unhideWhenUsed/>
    <w:rsid w:val="00C65220"/>
    <w:pPr>
      <w:tabs>
        <w:tab w:val="left" w:pos="384"/>
      </w:tabs>
      <w:spacing w:after="0" w:line="240" w:lineRule="auto"/>
      <w:ind w:left="384" w:hanging="384"/>
    </w:pPr>
  </w:style>
  <w:style w:type="character" w:styleId="CommentReference">
    <w:name w:val="annotation reference"/>
    <w:basedOn w:val="DefaultParagraphFont"/>
    <w:uiPriority w:val="99"/>
    <w:semiHidden/>
    <w:unhideWhenUsed/>
    <w:rsid w:val="007D5E9F"/>
    <w:rPr>
      <w:sz w:val="16"/>
      <w:szCs w:val="16"/>
    </w:rPr>
  </w:style>
  <w:style w:type="paragraph" w:styleId="CommentText">
    <w:name w:val="annotation text"/>
    <w:basedOn w:val="Normal"/>
    <w:link w:val="CommentTextChar"/>
    <w:uiPriority w:val="99"/>
    <w:unhideWhenUsed/>
    <w:rsid w:val="007D5E9F"/>
    <w:pPr>
      <w:spacing w:line="240" w:lineRule="auto"/>
    </w:pPr>
    <w:rPr>
      <w:sz w:val="20"/>
      <w:szCs w:val="20"/>
    </w:rPr>
  </w:style>
  <w:style w:type="character" w:customStyle="1" w:styleId="CommentTextChar">
    <w:name w:val="Comment Text Char"/>
    <w:basedOn w:val="DefaultParagraphFont"/>
    <w:link w:val="CommentText"/>
    <w:uiPriority w:val="99"/>
    <w:rsid w:val="007D5E9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D5E9F"/>
    <w:rPr>
      <w:b/>
      <w:bCs/>
    </w:rPr>
  </w:style>
  <w:style w:type="character" w:customStyle="1" w:styleId="CommentSubjectChar">
    <w:name w:val="Comment Subject Char"/>
    <w:basedOn w:val="CommentTextChar"/>
    <w:link w:val="CommentSubject"/>
    <w:uiPriority w:val="99"/>
    <w:semiHidden/>
    <w:rsid w:val="007D5E9F"/>
    <w:rPr>
      <w:rFonts w:ascii="Times New Roman" w:hAnsi="Times New Roman"/>
      <w:b/>
      <w:bCs/>
      <w:sz w:val="20"/>
      <w:szCs w:val="20"/>
    </w:rPr>
  </w:style>
  <w:style w:type="paragraph" w:styleId="Caption">
    <w:name w:val="caption"/>
    <w:basedOn w:val="Normal"/>
    <w:next w:val="Normal"/>
    <w:uiPriority w:val="2"/>
    <w:qFormat/>
    <w:rsid w:val="00F725EF"/>
    <w:pPr>
      <w:spacing w:before="120" w:after="120" w:line="259" w:lineRule="auto"/>
    </w:pPr>
    <w:rPr>
      <w:bCs/>
      <w:i/>
      <w:szCs w:val="22"/>
    </w:rPr>
  </w:style>
  <w:style w:type="table" w:styleId="TableGrid">
    <w:name w:val="Table Grid"/>
    <w:basedOn w:val="TableNormal"/>
    <w:uiPriority w:val="39"/>
    <w:rsid w:val="00F725E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rsid w:val="009B5FFF"/>
    <w:pPr>
      <w:keepNext/>
      <w:spacing w:before="100" w:after="60"/>
    </w:pPr>
    <w:rPr>
      <w:rFonts w:ascii="Times New Roman" w:hAnsi="Times New Roman"/>
      <w:i/>
      <w:sz w:val="20"/>
    </w:rPr>
  </w:style>
  <w:style w:type="paragraph" w:styleId="Header">
    <w:name w:val="header"/>
    <w:basedOn w:val="Normal"/>
    <w:link w:val="HeaderChar"/>
    <w:uiPriority w:val="99"/>
    <w:unhideWhenUsed/>
    <w:rsid w:val="00B901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1BA"/>
    <w:rPr>
      <w:rFonts w:ascii="Times New Roman" w:hAnsi="Times New Roman"/>
    </w:rPr>
  </w:style>
  <w:style w:type="paragraph" w:styleId="Footer">
    <w:name w:val="footer"/>
    <w:basedOn w:val="Normal"/>
    <w:link w:val="FooterChar"/>
    <w:uiPriority w:val="99"/>
    <w:unhideWhenUsed/>
    <w:rsid w:val="00B901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1B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761D4-7675-4DA9-8BA4-9721EC30A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17</Pages>
  <Words>11996</Words>
  <Characters>68383</Characters>
  <Application>Microsoft Office Word</Application>
  <DocSecurity>0</DocSecurity>
  <Lines>569</Lines>
  <Paragraphs>160</Paragraphs>
  <ScaleCrop>false</ScaleCrop>
  <Company/>
  <LinksUpToDate>false</LinksUpToDate>
  <CharactersWithSpaces>80219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Shehab.Ayman</dc:creator>
  <cp:keywords/>
  <dc:description/>
  <cp:lastModifiedBy>Shehab Ayman</cp:lastModifiedBy>
  <cp:revision>44</cp:revision>
  <dcterms:created xsi:type="dcterms:W3CDTF">2026-08-19T07:37:00Z</dcterms:created>
  <dcterms:modified xsi:type="dcterms:W3CDTF">2026-08-27T11:04:00Z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id="xMBFAbxc"/&gt;&lt;style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8bcd64a6-35b1-448f-b739-8c2aa53d70dd</vt:lpwstr>
  </property>
</Properties>
</file>