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F284" w14:textId="77777777" w:rsidR="00A429D0" w:rsidRDefault="00000000">
      <w:pPr>
        <w:pStyle w:val="Heading1"/>
      </w:pPr>
      <w:r>
        <w:t>4. Methodology</w:t>
      </w:r>
    </w:p>
    <w:p w14:paraId="508C978E" w14:textId="77777777" w:rsidR="00A429D0" w:rsidRDefault="00000000">
      <w:pPr>
        <w:jc w:val="both"/>
      </w:pPr>
      <w:r>
        <w:rPr>
          <w:highlight w:val="cyan"/>
        </w:rPr>
        <w:t>All forecasting techniques were evaluated through a single experimental contract. Data acquisition, unit normalization, temporal preprocessing, chronological splitting, window construction and evaluation were therefore performed once and reused unchanged by every model; model-specific input and target transformations were fitted within the training data only. This design prevents differences in preprocessing or test-window selection from being mistaken for differences in model capability. The following subsections first describe this shared procedure and then report only the elements unique to each learning technique.</w:t>
      </w:r>
    </w:p>
    <w:p w14:paraId="3C9F081D" w14:textId="77777777" w:rsidR="00A429D0" w:rsidRDefault="00000000">
      <w:pPr>
        <w:pStyle w:val="Heading2"/>
      </w:pPr>
      <w:r>
        <w:t>4.1 Shared Data Source and Preprocessing</w:t>
      </w:r>
    </w:p>
    <w:p w14:paraId="3C071F18" w14:textId="77777777" w:rsidR="00A429D0" w:rsidRPr="00BF73B1" w:rsidRDefault="00000000">
      <w:pPr>
        <w:jc w:val="both"/>
        <w:rPr>
          <w:highlight w:val="cyan"/>
        </w:rPr>
      </w:pPr>
      <w:r w:rsidRPr="00BF73B1">
        <w:rPr>
          <w:highlight w:val="cyan"/>
        </w:rPr>
        <w:t xml:space="preserve">The experiment used 173,645 conductivity observations. Five monitoring series were used: Terneuzen, </w:t>
      </w:r>
      <w:proofErr w:type="spellStart"/>
      <w:r w:rsidRPr="00BF73B1">
        <w:rPr>
          <w:highlight w:val="cyan"/>
        </w:rPr>
        <w:t>Westdorpe</w:t>
      </w:r>
      <w:proofErr w:type="spellEnd"/>
      <w:r w:rsidRPr="00BF73B1">
        <w:rPr>
          <w:highlight w:val="cyan"/>
        </w:rPr>
        <w:t xml:space="preserve">, Gent-far, Gent-near and </w:t>
      </w:r>
      <w:r w:rsidR="00A80F93" w:rsidRPr="00BF73B1">
        <w:rPr>
          <w:highlight w:val="cyan"/>
        </w:rPr>
        <w:t xml:space="preserve">a target </w:t>
      </w:r>
      <w:r w:rsidRPr="00BF73B1">
        <w:rPr>
          <w:highlight w:val="cyan"/>
        </w:rPr>
        <w:t xml:space="preserve">industrial site in Ghent. </w:t>
      </w:r>
      <w:r w:rsidR="00A80F93" w:rsidRPr="00BF73B1">
        <w:rPr>
          <w:highlight w:val="cyan"/>
        </w:rPr>
        <w:t>Industrial site</w:t>
      </w:r>
      <w:r w:rsidRPr="00BF73B1">
        <w:rPr>
          <w:highlight w:val="cyan"/>
        </w:rPr>
        <w:t xml:space="preserve"> conductivity was the prediction target, while the histories of all five locations formed the multivariate input. Values were normalized by the ingestion layer to </w:t>
      </w:r>
      <w:r w:rsidR="00A80F93" w:rsidRPr="00BF73B1">
        <w:rPr>
          <w:highlight w:val="cyan"/>
        </w:rPr>
        <w:t>milli Siemens</w:t>
      </w:r>
      <w:r w:rsidRPr="00BF73B1">
        <w:rPr>
          <w:highlight w:val="cyan"/>
        </w:rPr>
        <w:t xml:space="preserve"> per </w:t>
      </w:r>
      <w:r w:rsidR="00A80F93" w:rsidRPr="00BF73B1">
        <w:rPr>
          <w:highlight w:val="cyan"/>
        </w:rPr>
        <w:t>centimeter</w:t>
      </w:r>
      <w:r w:rsidRPr="00BF73B1">
        <w:rPr>
          <w:highlight w:val="cyan"/>
        </w:rPr>
        <w:t xml:space="preserve"> (mS/cm), allowing conductivity to be used as an operational proxy for salinity.</w:t>
      </w:r>
    </w:p>
    <w:p w14:paraId="7840BE65" w14:textId="77777777" w:rsidR="00A429D0" w:rsidRDefault="00000000">
      <w:pPr>
        <w:jc w:val="both"/>
      </w:pPr>
      <w:r w:rsidRPr="00BF73B1">
        <w:rPr>
          <w:highlight w:val="cyan"/>
        </w:rPr>
        <w:t>The sensors did not have identical end dates; consequently, the multivariate table was restricted to their genuine common coverage rather than extending shorter series with artificial values. The shared coverage began on 1 January 2025 and extended to 7 October 2025, while the forecasting experiment itself used observations through September. Measurements were resampled to a regular 15-minute grid, with duplicates in an interval aggregated by their mean. Time interpolation was restricted to four consecutive samples, corresponding to at most one hour, and was applied only to internal gaps. Longer gaps remained missing. A causal trailing two-hour moving average (eight observations) then reduced isolated measurement noise without using future values.</w:t>
      </w:r>
    </w:p>
    <w:p w14:paraId="66D5315C" w14:textId="77777777" w:rsidR="00A429D0" w:rsidRDefault="00000000">
      <w:pPr>
        <w:pStyle w:val="Heading2"/>
      </w:pPr>
      <w:r>
        <w:t>4.2 Forecasting Task, Delta Tracking and Leakage Control</w:t>
      </w:r>
    </w:p>
    <w:p w14:paraId="1BD37C41" w14:textId="77777777" w:rsidR="00A429D0" w:rsidRPr="00BF73B1" w:rsidRDefault="00000000">
      <w:pPr>
        <w:jc w:val="both"/>
        <w:rPr>
          <w:highlight w:val="cyan"/>
        </w:rPr>
      </w:pPr>
      <w:r w:rsidRPr="00BF73B1">
        <w:rPr>
          <w:highlight w:val="cyan"/>
        </w:rPr>
        <w:t xml:space="preserve">Each forecasting origin was represented by the preceding 72 hours of all five sensors, giving an input tensor of </w:t>
      </w:r>
      <w:r w:rsidR="00A80F93" w:rsidRPr="00BF73B1">
        <w:rPr>
          <w:highlight w:val="cyan"/>
        </w:rPr>
        <w:t>288-time</w:t>
      </w:r>
      <w:r w:rsidRPr="00BF73B1">
        <w:rPr>
          <w:highlight w:val="cyan"/>
        </w:rPr>
        <w:t xml:space="preserve"> steps by five variables. The desired output was the complete four-hour trajectory at </w:t>
      </w:r>
      <w:r w:rsidR="00A80F93" w:rsidRPr="00BF73B1">
        <w:rPr>
          <w:highlight w:val="cyan"/>
        </w:rPr>
        <w:t>target industrial site</w:t>
      </w:r>
      <w:r w:rsidRPr="00BF73B1">
        <w:rPr>
          <w:highlight w:val="cyan"/>
        </w:rPr>
        <w:t>: 16 quarter-hour changes relative to the latest observed target value. For lead step k, the learning target was defined as</w:t>
      </w:r>
      <w:r w:rsidR="00A80F93" w:rsidRPr="00BF73B1">
        <w:rPr>
          <w:highlight w:val="cyan"/>
        </w:rPr>
        <w:t xml:space="preserve"> follows:</w:t>
      </w:r>
    </w:p>
    <w:p w14:paraId="1B527752" w14:textId="77777777" w:rsidR="001A1BB8" w:rsidRPr="00BF73B1" w:rsidRDefault="00000000">
      <w:pPr>
        <w:spacing w:before="60" w:after="60"/>
        <w:jc w:val="center"/>
        <w:rPr>
          <w:rFonts w:eastAsiaTheme="minorEastAsia"/>
          <w:highlight w:val="cyan"/>
        </w:rPr>
      </w:pPr>
      <m:oMathPara>
        <m:oMath>
          <m:sSub>
            <m:sSubPr>
              <m:ctrlPr>
                <w:rPr>
                  <w:rFonts w:ascii="Cambria Math" w:hAnsi="Cambria Math"/>
                  <w:highlight w:val="cyan"/>
                </w:rPr>
              </m:ctrlPr>
            </m:sSubPr>
            <m:e>
              <m:r>
                <w:rPr>
                  <w:rFonts w:ascii="Cambria Math" w:hAnsi="Cambria Math"/>
                  <w:highlight w:val="cyan"/>
                </w:rPr>
                <m:t>Δy</m:t>
              </m:r>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m:t>
              </m:r>
            </m:sub>
          </m:sSub>
          <m:r>
            <m:rPr>
              <m:sty m:val="p"/>
            </m:rPr>
            <w:rPr>
              <w:rFonts w:ascii="Cambria Math" w:hAnsi="Cambria Math"/>
              <w:highlight w:val="cyan"/>
            </w:rPr>
            <m:t xml:space="preserve">,     </m:t>
          </m:r>
          <m:r>
            <w:rPr>
              <w:rFonts w:ascii="Cambria Math" w:hAnsi="Cambria Math"/>
              <w:highlight w:val="cyan"/>
            </w:rPr>
            <m:t>k</m:t>
          </m:r>
          <m:r>
            <m:rPr>
              <m:sty m:val="p"/>
            </m:rPr>
            <w:rPr>
              <w:rFonts w:ascii="Cambria Math" w:hAnsi="Cambria Math"/>
              <w:highlight w:val="cyan"/>
            </w:rPr>
            <m:t xml:space="preserve"> = 1, …, 16</m:t>
          </m:r>
        </m:oMath>
      </m:oMathPara>
    </w:p>
    <w:p w14:paraId="45B856FC" w14:textId="77777777" w:rsidR="009076D6" w:rsidRPr="00BF73B1" w:rsidRDefault="00000000">
      <w:pPr>
        <w:jc w:val="both"/>
        <w:rPr>
          <w:highlight w:val="cyan"/>
        </w:rPr>
      </w:pPr>
      <w:r w:rsidRPr="00BF73B1">
        <w:rPr>
          <w:highlight w:val="cyan"/>
        </w:rPr>
        <w:t>and the absolute forecast was reconstructed as</w:t>
      </w:r>
      <w:r w:rsidR="009076D6" w:rsidRPr="00BF73B1">
        <w:rPr>
          <w:highlight w:val="cyan"/>
        </w:rPr>
        <w:t xml:space="preserve"> follows:</w:t>
      </w:r>
    </w:p>
    <w:p w14:paraId="4BEDE55A" w14:textId="77777777" w:rsidR="001A1BB8" w:rsidRPr="00BF73B1" w:rsidRDefault="00000000">
      <w:pPr>
        <w:spacing w:before="60" w:after="60"/>
        <w:jc w:val="center"/>
        <w:rPr>
          <w:highlight w:val="cyan"/>
        </w:rPr>
      </w:pPr>
      <m:oMathPara>
        <m:oMath>
          <m:sSub>
            <m:sSubPr>
              <m:ctrlPr>
                <w:rPr>
                  <w:rFonts w:ascii="Cambria Math" w:hAnsi="Cambria Math"/>
                  <w:highlight w:val="cyan"/>
                </w:rPr>
              </m:ctrlPr>
            </m:sSubPr>
            <m:e>
              <m:acc>
                <m:accPr>
                  <m:ctrlPr>
                    <w:rPr>
                      <w:rFonts w:ascii="Cambria Math" w:hAnsi="Cambria Math"/>
                      <w:highlight w:val="cyan"/>
                    </w:rPr>
                  </m:ctrlPr>
                </m:accPr>
                <m:e>
                  <m:r>
                    <w:rPr>
                      <w:rFonts w:ascii="Cambria Math" w:hAnsi="Cambria Math"/>
                      <w:highlight w:val="cyan"/>
                    </w:rPr>
                    <m:t>y</m:t>
                  </m:r>
                </m:e>
              </m:acc>
            </m:e>
            <m:sub>
              <m:r>
                <w:rPr>
                  <w:rFonts w:ascii="Cambria Math" w:hAnsi="Cambria Math"/>
                  <w:highlight w:val="cyan"/>
                </w:rPr>
                <m:t>t+k</m:t>
              </m:r>
            </m:sub>
          </m:sSub>
          <m:r>
            <m:rPr>
              <m:sty m:val="p"/>
            </m:rPr>
            <w:rPr>
              <w:rFonts w:ascii="Cambria Math" w:hAnsi="Cambria Math"/>
              <w:highlight w:val="cyan"/>
            </w:rPr>
            <m:t xml:space="preserve"> = </m:t>
          </m:r>
          <m:sSub>
            <m:sSubPr>
              <m:ctrlPr>
                <w:rPr>
                  <w:rFonts w:ascii="Cambria Math" w:hAnsi="Cambria Math"/>
                  <w:highlight w:val="cyan"/>
                </w:rPr>
              </m:ctrlPr>
            </m:sSubPr>
            <m:e>
              <m:r>
                <w:rPr>
                  <w:rFonts w:ascii="Cambria Math" w:hAnsi="Cambria Math"/>
                  <w:highlight w:val="cyan"/>
                </w:rPr>
                <m:t>y</m:t>
              </m:r>
            </m:e>
            <m:sub>
              <m:r>
                <w:rPr>
                  <w:rFonts w:ascii="Cambria Math" w:hAnsi="Cambria Math"/>
                  <w:highlight w:val="cyan"/>
                </w:rPr>
                <m:t>t</m:t>
              </m:r>
            </m:sub>
          </m:sSub>
          <m:r>
            <m:rPr>
              <m:sty m:val="p"/>
            </m:rPr>
            <w:rPr>
              <w:rFonts w:ascii="Cambria Math" w:hAnsi="Cambria Math"/>
              <w:highlight w:val="cyan"/>
            </w:rPr>
            <m:t xml:space="preserve"> + </m:t>
          </m:r>
          <m:sSub>
            <m:sSubPr>
              <m:ctrlPr>
                <w:rPr>
                  <w:rFonts w:ascii="Cambria Math" w:hAnsi="Cambria Math"/>
                  <w:highlight w:val="cyan"/>
                </w:rPr>
              </m:ctrlPr>
            </m:sSubPr>
            <m:e>
              <m:acc>
                <m:accPr>
                  <m:ctrlPr>
                    <w:rPr>
                      <w:rFonts w:ascii="Cambria Math" w:hAnsi="Cambria Math"/>
                      <w:highlight w:val="cyan"/>
                    </w:rPr>
                  </m:ctrlPr>
                </m:accPr>
                <m:e>
                  <m:r>
                    <w:rPr>
                      <w:rFonts w:ascii="Cambria Math" w:hAnsi="Cambria Math"/>
                      <w:highlight w:val="cyan"/>
                    </w:rPr>
                    <m:t>Δy</m:t>
                  </m:r>
                </m:e>
              </m:acc>
            </m:e>
            <m:sub>
              <m:r>
                <w:rPr>
                  <w:rFonts w:ascii="Cambria Math" w:hAnsi="Cambria Math"/>
                  <w:highlight w:val="cyan"/>
                </w:rPr>
                <m:t>t,k</m:t>
              </m:r>
            </m:sub>
          </m:sSub>
        </m:oMath>
      </m:oMathPara>
    </w:p>
    <w:p w14:paraId="00848571" w14:textId="77777777" w:rsidR="00A429D0" w:rsidRPr="00BF73B1" w:rsidRDefault="00000000">
      <w:pPr>
        <w:jc w:val="both"/>
        <w:rPr>
          <w:highlight w:val="cyan"/>
        </w:rPr>
      </w:pPr>
      <w:r w:rsidRPr="00BF73B1">
        <w:rPr>
          <w:highlight w:val="cyan"/>
        </w:rPr>
        <w:t xml:space="preserve">This direct multi-output formulation avoids recursive error accumulation because later lead times do not consume earlier predictions. It also establishes a natural persistence baseline: predicting zero change </w:t>
      </w:r>
      <w:proofErr w:type="gramStart"/>
      <w:r w:rsidRPr="00BF73B1">
        <w:rPr>
          <w:highlight w:val="cyan"/>
        </w:rPr>
        <w:t>at</w:t>
      </w:r>
      <w:proofErr w:type="gramEnd"/>
      <w:r w:rsidRPr="00BF73B1">
        <w:rPr>
          <w:highlight w:val="cyan"/>
        </w:rPr>
        <w:t xml:space="preserve"> every horizon is equivalent to holding the most recent </w:t>
      </w:r>
      <w:r w:rsidR="00665D77" w:rsidRPr="00BF73B1">
        <w:rPr>
          <w:highlight w:val="cyan"/>
        </w:rPr>
        <w:t>industrial site</w:t>
      </w:r>
      <w:r w:rsidRPr="00BF73B1">
        <w:rPr>
          <w:highlight w:val="cyan"/>
        </w:rPr>
        <w:t xml:space="preserve"> value constant.</w:t>
      </w:r>
    </w:p>
    <w:p w14:paraId="76FFE80F" w14:textId="77777777" w:rsidR="00141D26" w:rsidRPr="00BF73B1" w:rsidRDefault="00000000">
      <w:pPr>
        <w:jc w:val="both"/>
        <w:rPr>
          <w:highlight w:val="cyan"/>
        </w:rPr>
      </w:pPr>
      <w:r>
        <w:rPr>
          <w:highlight w:val="cyan"/>
        </w:rPr>
        <w:t>The delta-trajectory target was also intended to reduce the tendency of regression models to revert toward the historical conductivity level and underestimate variability during rapid transitions. Instead of learning the absolute level independently at each horizon, each task-specific estimator learned the direction and magnitude of change from the current industrial-site baseline. The complete-history models could infer local momentum directly from the preceding target sequence; in the compact 42-hour ablation described in Section 4.6, this information was summarized explicitly by trailing one-hour and two-hour target changes. Chronos-2 was evaluated without local weight training: it forecast target levels in physical units, after which its median trajectory was expressed as changes from the same current-target baseline for common evaluation. Delta tracking changes the prediction representation but does not guarantee recovery of every extreme event, so its benefit was assessed against the same persistence baseline and held-out trajectories used for all models.</w:t>
      </w:r>
    </w:p>
    <w:p w14:paraId="52768781" w14:textId="77777777" w:rsidR="00A429D0" w:rsidRPr="00BF73B1" w:rsidRDefault="00000000">
      <w:pPr>
        <w:jc w:val="both"/>
        <w:rPr>
          <w:highlight w:val="cyan"/>
        </w:rPr>
      </w:pPr>
      <w:r w:rsidRPr="00BF73B1">
        <w:rPr>
          <w:highlight w:val="cyan"/>
        </w:rPr>
        <w:t xml:space="preserve">A candidate example was retained only when its full 72-hour history, current target and all 16 future targets were finite. The data were split chronologically: January-July 2025 for training, August for validation and model selection, and September for held-out testing. Training origins were sampled hourly to reduce extreme redundancy, whereas validation and test origins were retained every 15 minutes. The resulting shared arrays contained 4,062 training windows, 2,469 validation windows and 2,865 test windows. Because </w:t>
      </w:r>
      <w:r w:rsidR="009B70C5" w:rsidRPr="00BF73B1">
        <w:rPr>
          <w:highlight w:val="cyan"/>
        </w:rPr>
        <w:t>neighboring</w:t>
      </w:r>
      <w:r w:rsidRPr="00BF73B1">
        <w:rPr>
          <w:highlight w:val="cyan"/>
        </w:rPr>
        <w:t xml:space="preserve"> validation and test forecasts overlap, these counts describe forecast origins rather than statistically independent events.</w:t>
      </w:r>
    </w:p>
    <w:p w14:paraId="28392F37" w14:textId="77777777" w:rsidR="00A429D0" w:rsidRDefault="00000000" w:rsidP="009B70C5">
      <w:pPr>
        <w:jc w:val="both"/>
      </w:pPr>
      <w:r w:rsidRPr="00BF73B1">
        <w:rPr>
          <w:highlight w:val="cyan"/>
        </w:rPr>
        <w:t>Each sensor was standardized using a mean and standard deviation estimated only from complete training-period rows. Target changes were scaled separately at each of the 16 lead times using the corresponding training standard deviation. Validation and test data did not contribute to either transformation.</w:t>
      </w:r>
      <w:r>
        <w:t xml:space="preserve"> </w:t>
      </w:r>
      <w:r>
        <w:rPr>
          <w:highlight w:val="cyan"/>
        </w:rPr>
        <w:t xml:space="preserve"> These external transformations were used by the locally fitted estimators. Chronos-2 instead received reconstructed physical-scale histories and applied the pretrained pipeline's internal robust normalization.</w:t>
      </w:r>
    </w:p>
    <w:p w14:paraId="34D5122B" w14:textId="77777777" w:rsidR="00A429D0" w:rsidRDefault="00000000">
      <w:pPr>
        <w:pStyle w:val="Heading2"/>
      </w:pPr>
      <w:r>
        <w:t>4.3 Common Evaluation Protocol</w:t>
      </w:r>
    </w:p>
    <w:p w14:paraId="6D26D682" w14:textId="77777777" w:rsidR="002F429E" w:rsidRPr="00BF73B1" w:rsidRDefault="00000000">
      <w:pPr>
        <w:jc w:val="both"/>
        <w:rPr>
          <w:highlight w:val="cyan"/>
        </w:rPr>
      </w:pPr>
      <w:r w:rsidRPr="00BF73B1">
        <w:rPr>
          <w:highlight w:val="cyan"/>
        </w:rPr>
        <w:t>Overall metrics were calculated across 45,840 forecast values (2,865 origins multiplied by 16 lead steps), and endpoint metrics were additionally reported at one, two, three and four hours. Performance was quantified using mean absolute error (MAE), root mean squared error (RMSE), the coefficient of determination (R2), and RMSE skill relative to persistence</w:t>
      </w:r>
      <w:r w:rsidR="002F429E" w:rsidRPr="00BF73B1">
        <w:rPr>
          <w:highlight w:val="cyan"/>
        </w:rPr>
        <w:t xml:space="preserve"> where positive skill indicates improvement over persistence</w:t>
      </w:r>
      <w:r w:rsidRPr="00BF73B1">
        <w:rPr>
          <w:highlight w:val="cyan"/>
        </w:rPr>
        <w:t>, defined as</w:t>
      </w:r>
      <w:r w:rsidR="002F429E" w:rsidRPr="00BF73B1">
        <w:rPr>
          <w:highlight w:val="cyan"/>
        </w:rPr>
        <w:t xml:space="preserve"> follows:</w:t>
      </w:r>
    </w:p>
    <w:p w14:paraId="06001FBB" w14:textId="77777777" w:rsidR="002F429E" w:rsidRDefault="002F429E">
      <w:pPr>
        <w:jc w:val="both"/>
      </w:pPr>
      <m:oMathPara>
        <m:oMath>
          <m:r>
            <w:rPr>
              <w:rFonts w:ascii="Cambria Math" w:hAnsi="Cambria Math"/>
              <w:highlight w:val="cyan"/>
            </w:rPr>
            <m:t xml:space="preserve">1- </m:t>
          </m:r>
          <m:f>
            <m:fPr>
              <m:ctrlPr>
                <w:rPr>
                  <w:rFonts w:ascii="Cambria Math" w:hAnsi="Cambria Math"/>
                  <w:i/>
                  <w:highlight w:val="cyan"/>
                </w:rPr>
              </m:ctrlPr>
            </m:fPr>
            <m:num>
              <m:sSub>
                <m:sSubPr>
                  <m:ctrlPr>
                    <w:rPr>
                      <w:rFonts w:ascii="Cambria Math" w:hAnsi="Cambria Math"/>
                      <w:i/>
                      <w:highlight w:val="cyan"/>
                    </w:rPr>
                  </m:ctrlPr>
                </m:sSubPr>
                <m:e>
                  <m:r>
                    <w:rPr>
                      <w:rFonts w:ascii="Cambria Math" w:hAnsi="Cambria Math"/>
                      <w:highlight w:val="cyan"/>
                    </w:rPr>
                    <m:t>RMSE</m:t>
                  </m:r>
                </m:e>
                <m:sub>
                  <m:r>
                    <w:rPr>
                      <w:rFonts w:ascii="Cambria Math" w:hAnsi="Cambria Math"/>
                      <w:highlight w:val="cyan"/>
                    </w:rPr>
                    <m:t>model</m:t>
                  </m:r>
                </m:sub>
              </m:sSub>
            </m:num>
            <m:den>
              <m:sSub>
                <m:sSubPr>
                  <m:ctrlPr>
                    <w:rPr>
                      <w:rFonts w:ascii="Cambria Math" w:hAnsi="Cambria Math"/>
                      <w:i/>
                      <w:highlight w:val="cyan"/>
                    </w:rPr>
                  </m:ctrlPr>
                </m:sSubPr>
                <m:e>
                  <m:r>
                    <w:rPr>
                      <w:rFonts w:ascii="Cambria Math" w:hAnsi="Cambria Math"/>
                      <w:highlight w:val="cyan"/>
                    </w:rPr>
                    <m:t>RMSE</m:t>
                  </m:r>
                </m:e>
                <m:sub>
                  <m:r>
                    <w:rPr>
                      <w:rFonts w:ascii="Cambria Math" w:hAnsi="Cambria Math"/>
                      <w:highlight w:val="cyan"/>
                    </w:rPr>
                    <m:t>persistence</m:t>
                  </m:r>
                </m:sub>
              </m:sSub>
            </m:den>
          </m:f>
        </m:oMath>
      </m:oMathPara>
    </w:p>
    <w:p w14:paraId="4DCE0EFE" w14:textId="77777777" w:rsidR="00141D26" w:rsidRDefault="00000000">
      <w:pPr>
        <w:pStyle w:val="Heading2"/>
      </w:pPr>
      <w:r>
        <w:t>4.4 Exploratory Spatial-Temporal Lag Analysis</w:t>
      </w:r>
    </w:p>
    <w:p w14:paraId="7521F9BE" w14:textId="77777777" w:rsidR="00141D26" w:rsidRDefault="00000000">
      <w:pPr>
        <w:jc w:val="both"/>
      </w:pPr>
      <w:r w:rsidRPr="004F4A86">
        <w:rPr>
          <w:highlight w:val="cyan"/>
        </w:rPr>
        <w:t>The shared forecasting experiment retained the complete, unshifted 72-hour histories of all five sensors. A separate exploratory analysis was used to characterize plausible propagation delays along the canal and to motivate the compact 42-hour feature ablation. It was therefore a hypothesis-generation stage rather than preprocessing applied to every forecasting model.</w:t>
      </w:r>
    </w:p>
    <w:p w14:paraId="3376D533" w14:textId="77777777" w:rsidR="00141D26" w:rsidRDefault="00000000">
      <w:pPr>
        <w:pStyle w:val="Heading3"/>
      </w:pPr>
      <w:r>
        <w:t>4.4.1 Spatial-Temporal Alignment via Cross-Correlation</w:t>
      </w:r>
    </w:p>
    <w:p w14:paraId="70DDE402" w14:textId="77777777" w:rsidR="00141D26" w:rsidRPr="004F4A86" w:rsidRDefault="00000000">
      <w:pPr>
        <w:jc w:val="both"/>
        <w:rPr>
          <w:highlight w:val="cyan"/>
        </w:rPr>
      </w:pPr>
      <w:r w:rsidRPr="004F4A86">
        <w:rPr>
          <w:highlight w:val="cyan"/>
        </w:rPr>
        <w:t>The Ghent-Terneuzen Canal was treated as a continuous hydrodynamic system in which conductivity variations observed near the Terneuzen locks may appear later at downstream monitoring locations. Let Y(t) denote conductivity at the industrial target site and Xₛ(t) conductivity at upstream station s. For each station, a positive lag ℓ compared an earlier upstream observation with the target at the current time.</w:t>
      </w:r>
    </w:p>
    <w:p w14:paraId="0B8122CE" w14:textId="77777777" w:rsidR="00141D26" w:rsidRPr="004F4A86" w:rsidRDefault="00000000">
      <w:pPr>
        <w:jc w:val="both"/>
        <w:rPr>
          <w:highlight w:val="cyan"/>
        </w:rPr>
      </w:pPr>
      <w:r w:rsidRPr="004F4A86">
        <w:rPr>
          <w:highlight w:val="cyan"/>
        </w:rPr>
        <w:t>For this offline diagnostic only, the 15-minute series were smoothed with a centered two-hour rolling mean and detrended by subtracting a centered 24-hour rolling mean before correlations were calculated. These centered operations were used to reveal co-varying salinity disturbances; because they contain future information, the resulting diagnostic series were not supplied as causal forecasting inputs and were distinct from the trailing two-hour average used in the shared model preprocessing.</w:t>
      </w:r>
    </w:p>
    <w:p w14:paraId="7420F8E6" w14:textId="77777777" w:rsidR="001A1BB8" w:rsidRPr="004F4A86" w:rsidRDefault="00000000">
      <w:pPr>
        <w:spacing w:before="60" w:after="60"/>
        <w:jc w:val="center"/>
        <w:rPr>
          <w:highlight w:val="cyan"/>
        </w:rPr>
      </w:pPr>
      <m:oMathPara>
        <m:oMath>
          <m:sSub>
            <m:sSubPr>
              <m:ctrlPr>
                <w:rPr>
                  <w:rFonts w:ascii="Cambria Math" w:hAnsi="Cambria Math"/>
                  <w:highlight w:val="cyan"/>
                </w:rPr>
              </m:ctrlPr>
            </m:sSubPr>
            <m:e>
              <m:r>
                <w:rPr>
                  <w:rFonts w:ascii="Cambria Math" w:hAnsi="Cambria Math"/>
                  <w:highlight w:val="cyan"/>
                </w:rPr>
                <m:t>r</m:t>
              </m:r>
            </m:e>
            <m:sub>
              <m:r>
                <w:rPr>
                  <w:rFonts w:ascii="Cambria Math" w:hAnsi="Cambria Math"/>
                  <w:highlight w:val="cyan"/>
                </w:rPr>
                <m:t>s</m:t>
              </m:r>
            </m:sub>
          </m:sSub>
          <m:r>
            <m:rPr>
              <m:scr m:val="script"/>
              <m:sty m:val="p"/>
            </m:rPr>
            <w:rPr>
              <w:rFonts w:ascii="Cambria Math" w:hAnsi="Cambria Math"/>
              <w:highlight w:val="cyan"/>
            </w:rPr>
            <m:t xml:space="preserve">(l) = </m:t>
          </m:r>
          <m:r>
            <m:rPr>
              <m:sty m:val="p"/>
            </m:rPr>
            <w:rPr>
              <w:rFonts w:ascii="Cambria Math" w:hAnsi="Cambria Math"/>
              <w:highlight w:val="cyan"/>
            </w:rPr>
            <m:t>Corr[</m:t>
          </m:r>
          <m:sSub>
            <m:sSubPr>
              <m:ctrlPr>
                <w:rPr>
                  <w:rFonts w:ascii="Cambria Math" w:hAnsi="Cambria Math"/>
                  <w:highlight w:val="cyan"/>
                </w:rPr>
              </m:ctrlPr>
            </m:sSubPr>
            <m:e>
              <m:r>
                <w:rPr>
                  <w:rFonts w:ascii="Cambria Math" w:hAnsi="Cambria Math"/>
                  <w:highlight w:val="cyan"/>
                </w:rPr>
                <m:t>X</m:t>
              </m:r>
            </m:e>
            <m:sub>
              <m:r>
                <w:rPr>
                  <w:rFonts w:ascii="Cambria Math" w:hAnsi="Cambria Math"/>
                  <w:highlight w:val="cyan"/>
                </w:rPr>
                <m:t>s</m:t>
              </m:r>
            </m:sub>
          </m:sSub>
          <m:r>
            <m:rPr>
              <m:sty m:val="p"/>
            </m:rPr>
            <w:rPr>
              <w:rFonts w:ascii="Cambria Math" w:hAnsi="Cambria Math"/>
              <w:highlight w:val="cyan"/>
            </w:rPr>
            <m:t xml:space="preserve">(t - </m:t>
          </m:r>
          <m:r>
            <m:rPr>
              <m:scr m:val="script"/>
              <m:sty m:val="p"/>
            </m:rPr>
            <w:rPr>
              <w:rFonts w:ascii="Cambria Math" w:hAnsi="Cambria Math"/>
              <w:highlight w:val="cyan"/>
            </w:rPr>
            <m:t xml:space="preserve">l), </m:t>
          </m:r>
          <m:r>
            <w:rPr>
              <w:rFonts w:ascii="Cambria Math" w:hAnsi="Cambria Math"/>
              <w:highlight w:val="cyan"/>
            </w:rPr>
            <m:t>Y</m:t>
          </m:r>
          <m:r>
            <m:rPr>
              <m:sty m:val="p"/>
            </m:rPr>
            <w:rPr>
              <w:rFonts w:ascii="Cambria Math" w:hAnsi="Cambria Math"/>
              <w:highlight w:val="cyan"/>
            </w:rPr>
            <m:t>(t)]</m:t>
          </m:r>
        </m:oMath>
      </m:oMathPara>
    </w:p>
    <w:p w14:paraId="2FF97502" w14:textId="77777777" w:rsidR="00141D26" w:rsidRDefault="00000000">
      <w:pPr>
        <w:jc w:val="both"/>
      </w:pPr>
      <w:r w:rsidRPr="004F4A86">
        <w:rPr>
          <w:highlight w:val="cyan"/>
        </w:rPr>
        <w:lastRenderedPageBreak/>
        <w:t>The correlation at each lag was calculated from the paired, non-missing overlap between the two series. Peaks in rₛ(ℓ) were interpreted as candidate propagation delays rather than direct measurements of water-particle travel time, because tidal forcing, lock-operation cycles, freshwater inflow and serial autocorrelation can create repeated or broadened correlation maxima.</w:t>
      </w:r>
    </w:p>
    <w:p w14:paraId="100AA579" w14:textId="77777777" w:rsidR="00141D26" w:rsidRDefault="00000000">
      <w:pPr>
        <w:pStyle w:val="Heading3"/>
      </w:pPr>
      <w:r>
        <w:t>4.4.2 Geographically Constrained Lag Search</w:t>
      </w:r>
    </w:p>
    <w:p w14:paraId="037ABAF9" w14:textId="77777777" w:rsidR="00141D26" w:rsidRPr="004F4A86" w:rsidRDefault="00000000">
      <w:pPr>
        <w:jc w:val="both"/>
        <w:rPr>
          <w:highlight w:val="cyan"/>
        </w:rPr>
      </w:pPr>
      <w:r w:rsidRPr="004F4A86">
        <w:rPr>
          <w:highlight w:val="cyan"/>
        </w:rPr>
        <w:t>An unconstrained correlation search can select harmonics associated with daily or lock-operation cycles rather than physically plausible propagation. Candidate lags were therefore selected only within station-specific search intervals Wₛ based on each sensor's relative position along the canal:</w:t>
      </w:r>
    </w:p>
    <w:p w14:paraId="166395C9" w14:textId="77777777" w:rsidR="001A1BB8" w:rsidRPr="004F4A86" w:rsidRDefault="00000000">
      <w:pPr>
        <w:spacing w:before="60" w:after="60"/>
        <w:jc w:val="center"/>
        <w:rPr>
          <w:highlight w:val="cyan"/>
        </w:rPr>
      </w:pPr>
      <m:oMathPara>
        <m:oMath>
          <m:sSubSup>
            <m:sSubSupPr>
              <m:ctrlPr>
                <w:rPr>
                  <w:rFonts w:ascii="Cambria Math" w:hAnsi="Cambria Math"/>
                  <w:highlight w:val="cyan"/>
                </w:rPr>
              </m:ctrlPr>
            </m:sSubSupPr>
            <m:e>
              <m:r>
                <m:rPr>
                  <m:scr m:val="script"/>
                </m:rPr>
                <w:rPr>
                  <w:rFonts w:ascii="Cambria Math" w:hAnsi="Cambria Math"/>
                  <w:highlight w:val="cyan"/>
                </w:rPr>
                <m:t>l</m:t>
              </m:r>
            </m:e>
            <m:sub>
              <m:r>
                <w:rPr>
                  <w:rFonts w:ascii="Cambria Math" w:hAnsi="Cambria Math"/>
                  <w:highlight w:val="cyan"/>
                </w:rPr>
                <m:t>s</m:t>
              </m:r>
            </m:sub>
            <m:sup>
              <m:r>
                <w:rPr>
                  <w:rFonts w:ascii="Cambria Math" w:hAnsi="Cambria Math"/>
                  <w:highlight w:val="cyan"/>
                </w:rPr>
                <m:t>*</m:t>
              </m:r>
            </m:sup>
          </m:sSubSup>
          <m:r>
            <m:rPr>
              <m:sty m:val="p"/>
            </m:rPr>
            <w:rPr>
              <w:rFonts w:ascii="Cambria Math" w:hAnsi="Cambria Math"/>
              <w:highlight w:val="cyan"/>
            </w:rPr>
            <m:t xml:space="preserve"> = </m:t>
          </m:r>
          <m:limLow>
            <m:limLowPr>
              <m:ctrlPr>
                <w:rPr>
                  <w:rFonts w:ascii="Cambria Math" w:hAnsi="Cambria Math"/>
                  <w:highlight w:val="cyan"/>
                </w:rPr>
              </m:ctrlPr>
            </m:limLowPr>
            <m:e>
              <m:r>
                <m:rPr>
                  <m:sty m:val="p"/>
                </m:rPr>
                <w:rPr>
                  <w:rFonts w:ascii="Cambria Math" w:hAnsi="Cambria Math"/>
                  <w:highlight w:val="cyan"/>
                </w:rPr>
                <m:t>arg max</m:t>
              </m:r>
            </m:e>
            <m:lim>
              <m:r>
                <m:rPr>
                  <m:scr m:val="script"/>
                  <m:sty m:val="p"/>
                </m:rPr>
                <w:rPr>
                  <w:rFonts w:ascii="Cambria Math" w:hAnsi="Cambria Math"/>
                  <w:highlight w:val="cyan"/>
                </w:rPr>
                <m:t xml:space="preserve">l ∈ </m:t>
              </m:r>
              <m:sSub>
                <m:sSubPr>
                  <m:ctrlPr>
                    <w:rPr>
                      <w:rFonts w:ascii="Cambria Math" w:hAnsi="Cambria Math"/>
                      <w:highlight w:val="cyan"/>
                    </w:rPr>
                  </m:ctrlPr>
                </m:sSubPr>
                <m:e>
                  <m:r>
                    <w:rPr>
                      <w:rFonts w:ascii="Cambria Math" w:hAnsi="Cambria Math"/>
                      <w:highlight w:val="cyan"/>
                    </w:rPr>
                    <m:t>W</m:t>
                  </m:r>
                </m:e>
                <m:sub>
                  <m:r>
                    <w:rPr>
                      <w:rFonts w:ascii="Cambria Math" w:hAnsi="Cambria Math"/>
                      <w:highlight w:val="cyan"/>
                    </w:rPr>
                    <m:t>s</m:t>
                  </m:r>
                </m:sub>
              </m:sSub>
            </m:lim>
          </m:limLow>
          <m:r>
            <m:rPr>
              <m:sty m:val="p"/>
            </m:rPr>
            <w:rPr>
              <w:rFonts w:ascii="Cambria Math" w:hAnsi="Cambria Math"/>
              <w:highlight w:val="cyan"/>
            </w:rPr>
            <m:t xml:space="preserve"> </m:t>
          </m:r>
          <m:sSub>
            <m:sSubPr>
              <m:ctrlPr>
                <w:rPr>
                  <w:rFonts w:ascii="Cambria Math" w:hAnsi="Cambria Math"/>
                  <w:highlight w:val="cyan"/>
                </w:rPr>
              </m:ctrlPr>
            </m:sSubPr>
            <m:e>
              <m:r>
                <w:rPr>
                  <w:rFonts w:ascii="Cambria Math" w:hAnsi="Cambria Math"/>
                  <w:highlight w:val="cyan"/>
                </w:rPr>
                <m:t>r</m:t>
              </m:r>
            </m:e>
            <m:sub>
              <m:r>
                <w:rPr>
                  <w:rFonts w:ascii="Cambria Math" w:hAnsi="Cambria Math"/>
                  <w:highlight w:val="cyan"/>
                </w:rPr>
                <m:t>s</m:t>
              </m:r>
            </m:sub>
          </m:sSub>
          <m:r>
            <m:rPr>
              <m:scr m:val="script"/>
              <m:sty m:val="p"/>
            </m:rPr>
            <w:rPr>
              <w:rFonts w:ascii="Cambria Math" w:hAnsi="Cambria Math"/>
              <w:highlight w:val="cyan"/>
            </w:rPr>
            <m:t>(l)</m:t>
          </m:r>
        </m:oMath>
      </m:oMathPara>
    </w:p>
    <w:p w14:paraId="057603C2" w14:textId="77777777" w:rsidR="00141D26" w:rsidRPr="004F4A86" w:rsidRDefault="00000000">
      <w:pPr>
        <w:pStyle w:val="ListParagraph"/>
        <w:numPr>
          <w:ilvl w:val="0"/>
          <w:numId w:val="1"/>
        </w:numPr>
        <w:rPr>
          <w:highlight w:val="cyan"/>
        </w:rPr>
      </w:pPr>
      <w:r w:rsidRPr="004F4A86">
        <w:rPr>
          <w:highlight w:val="cyan"/>
        </w:rPr>
        <w:t>Gent-near: 0-4 hours (immediate boundary dynamics)</w:t>
      </w:r>
    </w:p>
    <w:p w14:paraId="1B7AE4BF" w14:textId="77777777" w:rsidR="00141D26" w:rsidRPr="004F4A86" w:rsidRDefault="00000000">
      <w:pPr>
        <w:pStyle w:val="ListParagraph"/>
        <w:numPr>
          <w:ilvl w:val="0"/>
          <w:numId w:val="1"/>
        </w:numPr>
        <w:rPr>
          <w:highlight w:val="cyan"/>
        </w:rPr>
      </w:pPr>
      <w:r w:rsidRPr="004F4A86">
        <w:rPr>
          <w:highlight w:val="cyan"/>
        </w:rPr>
        <w:t>Gent-far: 10-24 hours (arrival from the northern port area)</w:t>
      </w:r>
    </w:p>
    <w:p w14:paraId="54A640DD" w14:textId="77777777" w:rsidR="00141D26" w:rsidRPr="004F4A86" w:rsidRDefault="00000000">
      <w:pPr>
        <w:pStyle w:val="ListParagraph"/>
        <w:numPr>
          <w:ilvl w:val="0"/>
          <w:numId w:val="1"/>
        </w:numPr>
        <w:rPr>
          <w:highlight w:val="cyan"/>
        </w:rPr>
      </w:pPr>
      <w:r w:rsidRPr="004F4A86">
        <w:rPr>
          <w:highlight w:val="cyan"/>
        </w:rPr>
        <w:t>Westdorpe: 20-38 hours (mid-canal propagation)</w:t>
      </w:r>
    </w:p>
    <w:p w14:paraId="09133116" w14:textId="77777777" w:rsidR="00141D26" w:rsidRPr="004F4A86" w:rsidRDefault="00000000">
      <w:pPr>
        <w:pStyle w:val="ListParagraph"/>
        <w:numPr>
          <w:ilvl w:val="0"/>
          <w:numId w:val="1"/>
        </w:numPr>
        <w:rPr>
          <w:highlight w:val="cyan"/>
        </w:rPr>
      </w:pPr>
      <w:r w:rsidRPr="004F4A86">
        <w:rPr>
          <w:highlight w:val="cyan"/>
        </w:rPr>
        <w:t>Terneuzen: 35-48 hours (propagation from the North Sea boundary)</w:t>
      </w:r>
    </w:p>
    <w:p w14:paraId="404EC174" w14:textId="77777777" w:rsidR="00141D26" w:rsidRDefault="00000000">
      <w:pPr>
        <w:jc w:val="both"/>
      </w:pPr>
      <w:r>
        <w:rPr>
          <w:highlight w:val="cyan"/>
        </w:rPr>
        <w:t>The selected lags were used to align upstream observations for exploratory visualization and interpretation. They were not imposed on the complete-history Ridge, XGBoost, SVR, LSTM, TCN or Chronos-2 configurations, which received the original ordered histories and could use temporal relationships without a prescribed shift. Because the preliminary lag search was performed before the final chronological evaluation protocol was fixed, these lag estimates and the associated 42-hour hypothesis are treated as exploratory. A confirmatory study should estimate and select lags using training data only and hold them fixed before evaluating the September test period.</w:t>
      </w:r>
    </w:p>
    <w:p w14:paraId="28605C47" w14:textId="77777777" w:rsidR="00A429D0" w:rsidRDefault="00000000">
      <w:pPr>
        <w:pStyle w:val="Heading2"/>
      </w:pPr>
      <w:r>
        <w:t>4.5 Model-Specific Implementations</w:t>
      </w:r>
    </w:p>
    <w:p w14:paraId="13C0E12B" w14:textId="77777777" w:rsidR="00A429D0" w:rsidRDefault="00000000">
      <w:pPr>
        <w:pStyle w:val="Heading3"/>
      </w:pPr>
      <w:r>
        <w:t>4.5.1 Extreme Gradient Boosting</w:t>
      </w:r>
    </w:p>
    <w:p w14:paraId="698AEC23" w14:textId="77777777" w:rsidR="00A429D0" w:rsidRDefault="00000000">
      <w:pPr>
        <w:jc w:val="both"/>
      </w:pPr>
      <w:r w:rsidRPr="00DA728B">
        <w:rPr>
          <w:highlight w:val="cyan"/>
        </w:rPr>
        <w:t xml:space="preserve">For the complete-history </w:t>
      </w:r>
      <w:proofErr w:type="spellStart"/>
      <w:r w:rsidRPr="00DA728B">
        <w:rPr>
          <w:highlight w:val="cyan"/>
        </w:rPr>
        <w:t>XGBoost</w:t>
      </w:r>
      <w:proofErr w:type="spellEnd"/>
      <w:r w:rsidRPr="00DA728B">
        <w:rPr>
          <w:highlight w:val="cyan"/>
        </w:rPr>
        <w:t xml:space="preserve"> model, each 288 by 5 input tensor was flattened to 1,440 ordered features. Sixteen independent gradient-boosted tree regressors were fitted, one for every 15-minute forecast step. The maximum ensemble size was 1,200 trees with learning rate 0.03, maximum depth 4, minimum child weight 5, row subsampling 0.80, column subsampling 0.60, L1 regularization 0.05 and L2 regularization 5.0. Histogram-based tree construction was used, and training stopped when validation RMSE failed to </w:t>
      </w:r>
      <w:r w:rsidR="002639A6" w:rsidRPr="00DA728B">
        <w:rPr>
          <w:highlight w:val="cyan"/>
        </w:rPr>
        <w:t>improve</w:t>
      </w:r>
      <w:r w:rsidRPr="00DA728B">
        <w:rPr>
          <w:highlight w:val="cyan"/>
        </w:rPr>
        <w:t xml:space="preserve"> </w:t>
      </w:r>
      <w:r w:rsidR="002639A6" w:rsidRPr="00DA728B">
        <w:rPr>
          <w:highlight w:val="cyan"/>
        </w:rPr>
        <w:t xml:space="preserve">for </w:t>
      </w:r>
      <w:r w:rsidRPr="00DA728B">
        <w:rPr>
          <w:highlight w:val="cyan"/>
        </w:rPr>
        <w:t xml:space="preserve">40 </w:t>
      </w:r>
      <w:r w:rsidR="002639A6" w:rsidRPr="00DA728B">
        <w:rPr>
          <w:highlight w:val="cyan"/>
        </w:rPr>
        <w:t>epochs</w:t>
      </w:r>
      <w:r w:rsidRPr="00DA728B">
        <w:rPr>
          <w:highlight w:val="cyan"/>
        </w:rPr>
        <w:t>. The direct horizon-specific estimators allowed the mapping to change with lead time rather than imposing one common response function.</w:t>
      </w:r>
    </w:p>
    <w:p w14:paraId="1191D96D" w14:textId="77777777" w:rsidR="00A429D0" w:rsidRDefault="00000000">
      <w:pPr>
        <w:pStyle w:val="Heading3"/>
      </w:pPr>
      <w:r>
        <w:t>4.5.2 Support Vector Regression</w:t>
      </w:r>
    </w:p>
    <w:p w14:paraId="234EF4DB" w14:textId="77777777" w:rsidR="00A429D0" w:rsidRDefault="00000000">
      <w:pPr>
        <w:jc w:val="both"/>
      </w:pPr>
      <w:r w:rsidRPr="00DA728B">
        <w:rPr>
          <w:highlight w:val="cyan"/>
        </w:rPr>
        <w:t xml:space="preserve">The SVR model received the same 1,440 flattened values, followed by an additional feature-wise standardization fitted on the training matrix. A radial basis function kernel was used with C = 10, epsilon = 0.05 and gamma = 'scale'. As in </w:t>
      </w:r>
      <w:proofErr w:type="spellStart"/>
      <w:r w:rsidRPr="00DA728B">
        <w:rPr>
          <w:highlight w:val="cyan"/>
        </w:rPr>
        <w:t>XGBoost</w:t>
      </w:r>
      <w:proofErr w:type="spellEnd"/>
      <w:r w:rsidRPr="00DA728B">
        <w:rPr>
          <w:highlight w:val="cyan"/>
        </w:rPr>
        <w:t>, 16 independent regressors predicted the scaled change at each future step. The RBF formulation provides a smooth nonlinear mapping, in contrast to the piecewise-constant partitions produced by tree ensembles.</w:t>
      </w:r>
    </w:p>
    <w:p>
      <w:pPr>
        <w:pStyle w:val="Heading3"/>
      </w:pPr>
      <w:r>
        <w:t>4.5.3 Ridge Regression</w:t>
      </w:r>
    </w:p>
    <w:p>
      <w:pPr>
        <w:jc w:val="both"/>
      </w:pPr>
      <w:r>
        <w:rPr>
          <w:highlight w:val="cyan"/>
        </w:rPr>
        <w:t>Ridge regression used the same flattened complete-history input as the other classical models. Feature-wise standardization was fitted on the training matrix, after which one regularized linear multi-output model predicted the scaled change at every lead. The L2 penalty was fixed at alpha = 10.0. This retained all ordered sensor-lag features while providing a linear reference for the nonlinear and sequence-based architectures.</w:t>
      </w:r>
    </w:p>
    <w:p w14:paraId="27142943" w14:textId="77777777" w:rsidR="00A429D0" w:rsidRDefault="00000000">
      <w:pPr>
        <w:pStyle w:val="Heading3"/>
      </w:pPr>
      <w:r>
        <w:t>4.5.4 Long Short-Term Memory Network</w:t>
      </w:r>
    </w:p>
    <w:p w14:paraId="4B7FAF8E" w14:textId="77777777" w:rsidR="00A429D0" w:rsidRDefault="00000000">
      <w:pPr>
        <w:jc w:val="both"/>
      </w:pPr>
      <w:r w:rsidRPr="00DA728B">
        <w:rPr>
          <w:highlight w:val="cyan"/>
        </w:rPr>
        <w:t xml:space="preserve">The LSTM preserved the 288 by 5 sequence structure. </w:t>
      </w:r>
      <w:r w:rsidR="002639A6" w:rsidRPr="00DA728B">
        <w:rPr>
          <w:highlight w:val="cyan"/>
        </w:rPr>
        <w:t>The first</w:t>
      </w:r>
      <w:r w:rsidRPr="00DA728B">
        <w:rPr>
          <w:highlight w:val="cyan"/>
        </w:rPr>
        <w:t xml:space="preserve"> recurrent layer with 64 units returned the complete encoded sequence; after dropout of 0.10, a second 32-unit LSTM condensed it into one temporal summary. Layer normalization, a 64-unit rectified linear dense layer and a second 0.10 </w:t>
      </w:r>
      <w:r w:rsidRPr="00DA728B">
        <w:rPr>
          <w:highlight w:val="cyan"/>
        </w:rPr>
        <w:lastRenderedPageBreak/>
        <w:t>dropout layer preceded a 16-unit output layer. The network therefore produced the entire scaled change trajectory in one forward pass. It was optimized with Adam learning rate</w:t>
      </w:r>
      <w:r w:rsidR="002639A6" w:rsidRPr="00DA728B">
        <w:rPr>
          <w:highlight w:val="cyan"/>
        </w:rPr>
        <w:t xml:space="preserve"> of value</w:t>
      </w:r>
      <w:r w:rsidRPr="00DA728B">
        <w:rPr>
          <w:highlight w:val="cyan"/>
        </w:rPr>
        <w:t xml:space="preserve"> </w:t>
      </w:r>
      <m:oMath>
        <m:r>
          <w:rPr>
            <w:rFonts w:ascii="Cambria Math" w:hAnsi="Cambria Math"/>
            <w:highlight w:val="cyan"/>
          </w:rPr>
          <m:t xml:space="preserve">3 X </m:t>
        </m:r>
        <m:sSup>
          <m:sSupPr>
            <m:ctrlPr>
              <w:rPr>
                <w:rFonts w:ascii="Cambria Math" w:hAnsi="Cambria Math"/>
                <w:i/>
                <w:highlight w:val="cyan"/>
              </w:rPr>
            </m:ctrlPr>
          </m:sSupPr>
          <m:e>
            <m:r>
              <w:rPr>
                <w:rFonts w:ascii="Cambria Math" w:hAnsi="Cambria Math"/>
                <w:highlight w:val="cyan"/>
              </w:rPr>
              <m:t>10</m:t>
            </m:r>
          </m:e>
          <m:sup>
            <m:r>
              <w:rPr>
                <w:rFonts w:ascii="Cambria Math" w:hAnsi="Cambria Math"/>
                <w:highlight w:val="cyan"/>
              </w:rPr>
              <m:t>-4</m:t>
            </m:r>
          </m:sup>
        </m:sSup>
      </m:oMath>
      <w:r w:rsidRPr="00DA728B">
        <w:rPr>
          <w:highlight w:val="cyan"/>
        </w:rPr>
        <w:t xml:space="preserve"> and gradient-norm clipping at 1.0, Huber </w:t>
      </w:r>
      <w:proofErr w:type="gramStart"/>
      <w:r w:rsidRPr="00DA728B">
        <w:rPr>
          <w:highlight w:val="cyan"/>
        </w:rPr>
        <w:t>loss</w:t>
      </w:r>
      <w:proofErr w:type="gramEnd"/>
      <w:r w:rsidRPr="00DA728B">
        <w:rPr>
          <w:highlight w:val="cyan"/>
        </w:rPr>
        <w:t xml:space="preserve"> with delta 1.0, a batch size of 128 and a maximum of 150 epochs. The checkpoint with the lowest August validation loss was retained; early stopping and learning-rate reduction used patience values of 18 and 6 epochs, respectively.</w:t>
      </w:r>
    </w:p>
    <w:p w14:paraId="7C7EA79C" w14:textId="77777777" w:rsidR="00A429D0" w:rsidRDefault="00000000">
      <w:pPr>
        <w:pStyle w:val="Heading3"/>
      </w:pPr>
      <w:r>
        <w:t>4.5.5 Temporal Convolutional Network</w:t>
      </w:r>
    </w:p>
    <w:p w14:paraId="21F10163" w14:textId="77777777" w:rsidR="00A429D0" w:rsidRDefault="009A5F38">
      <w:pPr>
        <w:jc w:val="both"/>
      </w:pPr>
      <w:r w:rsidRPr="00DA728B">
        <w:rPr>
          <w:highlight w:val="cyan"/>
        </w:rPr>
        <w:t xml:space="preserve">TCN also preserved the multivariate sequence but replaced recurrence with causal dilated convolutions. Six residual blocks used dilation factors 1, 2, 4, 8, 16 and 32. Each block contained two causal one-dimensional convolutions with 24 filters and kernel size 5, followed by layer normalization, rectified linear activation and spatial dropout of 0.10. Residual shortcuts supported gradient flow. The theoretical receptive field was </w:t>
      </w:r>
      <w:proofErr w:type="gramStart"/>
      <w:r w:rsidRPr="00DA728B">
        <w:rPr>
          <w:highlight w:val="cyan"/>
        </w:rPr>
        <w:t>505 time</w:t>
      </w:r>
      <w:proofErr w:type="gramEnd"/>
      <w:r w:rsidRPr="00DA728B">
        <w:rPr>
          <w:highlight w:val="cyan"/>
        </w:rPr>
        <w:t xml:space="preserve"> steps, exceeding the available 288-step history; the final encoding could therefore use the complete 72-hour input. The latest encoded time step was passed through a 64-unit dense layer and a 16-unit output layer. Optimization matched the LSTM objective and optimizer, with batch size 256, at most 120 epochs, early stopping patience 14 and learning-rate-reduction patience 5.</w:t>
      </w:r>
    </w:p>
    <w:p>
      <w:pPr>
        <w:pStyle w:val="Heading3"/>
      </w:pPr>
      <w:r>
        <w:t>4.5.6 Chronos-2 Foundation Model</w:t>
      </w:r>
    </w:p>
    <w:p>
      <w:pPr>
        <w:jc w:val="both"/>
      </w:pPr>
      <w:r>
        <w:rPr>
          <w:highlight w:val="cyan"/>
        </w:rPr>
        <w:t>Chronos-2 was included as a pretrained probabilistic forecasting reference using the 120-million-parameter amazon/chronos-2 checkpoint. The industrial-site history was supplied as the target series, while Terneuzen, Westdorpe, Gent-far and Gent-near were supplied as past-only covariates. The model received the unshifted physical-scale histories and generated the complete requested horizon directly; no future sensor values were supplied.</w:t>
      </w:r>
    </w:p>
    <w:p>
      <w:pPr>
        <w:jc w:val="both"/>
      </w:pPr>
      <w:r>
        <w:rPr>
          <w:highlight w:val="cyan"/>
        </w:rPr>
        <w:t>Inference was performed in float32 with the pretrained weights frozen, so no canal observations were used for gradient-based fine-tuning. The 0.5 quantile served as the point forecast, while the 0.1 and 0.9 quantiles were retained for probabilistic evaluation. In the calibrated configuration, one residual multiplier per lead was estimated from August only and constrained to the interval [0, 1], allowing the forecast to shrink toward persistence without altering the Chronos-2 weights. Both the raw zero-shot and predeclared calibrated configurations were carried forward to held-out evaluation.</w:t>
      </w:r>
    </w:p>
    <w:p w14:paraId="35CEF43A" w14:textId="77777777" w:rsidR="00A429D0" w:rsidRDefault="00000000">
      <w:pPr>
        <w:pStyle w:val="Heading2"/>
      </w:pPr>
      <w:r>
        <w:t>4.6 Explicit 42-Hour Feature Ablation</w:t>
      </w:r>
    </w:p>
    <w:p w14:paraId="5F7C36ED" w14:textId="77777777" w:rsidR="00A429D0" w:rsidRPr="00A62244" w:rsidRDefault="00000000">
      <w:pPr>
        <w:jc w:val="both"/>
        <w:rPr>
          <w:highlight w:val="cyan"/>
        </w:rPr>
      </w:pPr>
      <w:r>
        <w:rPr>
          <w:highlight w:val="cyan"/>
        </w:rPr>
        <w:t>The complete-history Ridge, XGBoost, SVR, LSTM, TCN and Chronos-2 configurations were not supplied with a manually shifted propagation feature. They could access the entire preceding 72 hours and determine useful temporal relationships without a prescribed delay. Motivated by the Terneuzen search interval and the exploratory cross-correlation analysis, a separate ablation tested an approximately 42-hour Terneuzen-to-Ghent delay. Its compact classical input contained four standardized features: current industrial-site conductivity, trailing one-hour and two-hour target changes, and Terneuzen conductivity exactly 42 hours before the forecast origin. Ridge, XGBoost and SVR were refitted on this representation using their original estimator settings and the same training, validation and test targets. For Chronos-2, the matched 42-hour sequence retained the industrial target as the forecast series and supplied the two target-change histories and shifted Terneuzen history as past-only covariates, while the pretrained weights remained frozen.</w:t>
      </w:r>
    </w:p>
    <w:p w14:paraId="3B54047B" w14:textId="77777777" w:rsidR="00A429D0" w:rsidRDefault="00000000" w:rsidP="001C4F6C">
      <w:pPr>
        <w:jc w:val="both"/>
      </w:pPr>
      <w:r>
        <w:rPr>
          <w:highlight w:val="cyan"/>
        </w:rPr>
        <w:t>This comparison should be interpreted as a feature-representation experiment rather than a direct test. The complete 72-hour history already contains the Terneuzen observation at 42 hours. For the classical estimators, the ablation changes 1,440 inputs into four manually selected summaries; for Chronos-2, the same four variables are retained as an ordered 42-hour sequence.</w:t>
      </w:r>
    </w:p>
    <w:p w14:paraId="213CA91E" w14:textId="77777777" w:rsidR="00A429D0" w:rsidRDefault="00A429D0">
      <w:pPr>
        <w:jc w:val="both"/>
      </w:pPr>
    </w:p>
    <w:sectPr w:rsidR="00A429D0">
      <w:footerReference w:type="default" r:id="rId7"/>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2977C" w14:textId="77777777" w:rsidR="00F12673" w:rsidRDefault="00F12673" w:rsidP="007E7A91">
      <w:pPr>
        <w:spacing w:after="0" w:line="240" w:lineRule="auto"/>
      </w:pPr>
      <w:r>
        <w:separator/>
      </w:r>
    </w:p>
  </w:endnote>
  <w:endnote w:type="continuationSeparator" w:id="0">
    <w:p w14:paraId="0D7A097B" w14:textId="77777777" w:rsidR="00F12673" w:rsidRDefault="00F12673" w:rsidP="007E7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835D" w14:textId="77777777" w:rsidR="00A429D0" w:rsidRDefault="00000000">
    <w:pPr>
      <w:jc w:val="right"/>
    </w:pPr>
    <w:r>
      <w:rPr>
        <w:sz w:val="18"/>
      </w:rPr>
      <w:fldChar w:fldCharType="begin"/>
    </w:r>
    <w:r>
      <w:rPr>
        <w:sz w:val="18"/>
      </w:rPr>
      <w:instrText xml:space="preserve"> PAGE </w:instrText>
    </w:r>
    <w:r>
      <w:rPr>
        <w:sz w:val="18"/>
      </w:rPr>
      <w:fldChar w:fldCharType="separate"/>
    </w:r>
    <w:r w:rsidR="00A80F9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C5288" w14:textId="77777777" w:rsidR="00F12673" w:rsidRDefault="00F12673" w:rsidP="007E7A91">
      <w:pPr>
        <w:spacing w:after="0" w:line="240" w:lineRule="auto"/>
      </w:pPr>
      <w:r>
        <w:separator/>
      </w:r>
    </w:p>
  </w:footnote>
  <w:footnote w:type="continuationSeparator" w:id="0">
    <w:p w14:paraId="525EB638" w14:textId="77777777" w:rsidR="00F12673" w:rsidRDefault="00F12673" w:rsidP="007E7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146E7"/>
    <w:multiLevelType w:val="singleLevel"/>
    <w:tmpl w:val="9AECE09E"/>
    <w:lvl w:ilvl="0">
      <w:start w:val="1"/>
      <w:numFmt w:val="bullet"/>
      <w:lvlText w:val="•"/>
      <w:lvlJc w:val="left"/>
      <w:pPr>
        <w:tabs>
          <w:tab w:val="num" w:pos="720"/>
        </w:tabs>
        <w:ind w:left="720" w:hanging="360"/>
      </w:pPr>
    </w:lvl>
  </w:abstractNum>
  <w:abstractNum w:abstractNumId="1"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884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F46CA"/>
    <w:rsid w:val="001341DE"/>
    <w:rsid w:val="00141D26"/>
    <w:rsid w:val="00145CBB"/>
    <w:rsid w:val="001A1BB8"/>
    <w:rsid w:val="001C4F6C"/>
    <w:rsid w:val="002639A6"/>
    <w:rsid w:val="002828FD"/>
    <w:rsid w:val="002913F8"/>
    <w:rsid w:val="002F429E"/>
    <w:rsid w:val="00396827"/>
    <w:rsid w:val="003A7D3C"/>
    <w:rsid w:val="003F1ACB"/>
    <w:rsid w:val="00410D46"/>
    <w:rsid w:val="00420528"/>
    <w:rsid w:val="004F4A86"/>
    <w:rsid w:val="00514B9A"/>
    <w:rsid w:val="00665D77"/>
    <w:rsid w:val="00684CB5"/>
    <w:rsid w:val="0073346D"/>
    <w:rsid w:val="007D1C1E"/>
    <w:rsid w:val="007E7A91"/>
    <w:rsid w:val="00870721"/>
    <w:rsid w:val="009076D6"/>
    <w:rsid w:val="0094134C"/>
    <w:rsid w:val="009467D0"/>
    <w:rsid w:val="009A5F38"/>
    <w:rsid w:val="009B70C5"/>
    <w:rsid w:val="009C5D35"/>
    <w:rsid w:val="00A429D0"/>
    <w:rsid w:val="00A62244"/>
    <w:rsid w:val="00A76C97"/>
    <w:rsid w:val="00A80F93"/>
    <w:rsid w:val="00A94077"/>
    <w:rsid w:val="00AA6877"/>
    <w:rsid w:val="00AD34FE"/>
    <w:rsid w:val="00B32372"/>
    <w:rsid w:val="00B64C9E"/>
    <w:rsid w:val="00BA02F5"/>
    <w:rsid w:val="00BF73B1"/>
    <w:rsid w:val="00C52ED9"/>
    <w:rsid w:val="00D073EF"/>
    <w:rsid w:val="00D20C8A"/>
    <w:rsid w:val="00DA728B"/>
    <w:rsid w:val="00DD05F4"/>
    <w:rsid w:val="00E14D88"/>
    <w:rsid w:val="00E91723"/>
    <w:rsid w:val="00F12673"/>
    <w:rsid w:val="00F65C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D82E"/>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72"/>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eastAsiaTheme="majorEastAsia" w:hAnsiTheme="majorBidi"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eastAsiaTheme="majorEastAsia" w:hAnsiTheme="majorBidi"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877"/>
    <w:rPr>
      <w:rFonts w:asciiTheme="majorBidi" w:eastAsiaTheme="majorEastAsia" w:hAnsiTheme="majorBidi" w:cstheme="majorBidi"/>
      <w:color w:val="000000" w:themeColor="text1"/>
      <w:sz w:val="40"/>
      <w:szCs w:val="40"/>
    </w:rPr>
  </w:style>
  <w:style w:type="character" w:customStyle="1" w:styleId="Heading2Char">
    <w:name w:val="Heading 2 Char"/>
    <w:basedOn w:val="DefaultParagraphFont"/>
    <w:link w:val="Heading2"/>
    <w:uiPriority w:val="9"/>
    <w:rsid w:val="002913F8"/>
    <w:rPr>
      <w:rFonts w:asciiTheme="majorBidi" w:eastAsiaTheme="majorEastAsia" w:hAnsiTheme="majorBidi" w:cstheme="majorBidi"/>
      <w:color w:val="000000" w:themeColor="text1"/>
      <w:sz w:val="32"/>
      <w:szCs w:val="32"/>
    </w:rPr>
  </w:style>
  <w:style w:type="character" w:customStyle="1" w:styleId="Heading3Char">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A91"/>
  </w:style>
  <w:style w:type="paragraph" w:customStyle="1" w:styleId="Caption1">
    <w:name w:val="Caption1"/>
    <w:pPr>
      <w:keepNext/>
      <w:spacing w:before="100" w:after="60"/>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4</Pages>
  <Words>1795</Words>
  <Characters>10237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Shehab.Ayman</dc:creator>
  <cp:keywords/>
  <dc:description/>
  <cp:lastModifiedBy>Shehab.Ayman</cp:lastModifiedBy>
  <cp:revision>21</cp:revision>
  <dcterms:created xsi:type="dcterms:W3CDTF">2026-08-14T10:17:00Z</dcterms:created>
  <dcterms:modified xsi:type="dcterms:W3CDTF">2026-08-19T08:53:00Z</dcterms:modified>
</cp:coreProperties>
</file>