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855A" w14:textId="77777777" w:rsidR="002517ED" w:rsidRPr="002517ED" w:rsidRDefault="002517ED" w:rsidP="002517ED">
      <w:pPr>
        <w:rPr>
          <w:b/>
          <w:bCs/>
        </w:rPr>
      </w:pPr>
      <w:r w:rsidRPr="002517ED">
        <w:rPr>
          <w:b/>
          <w:bCs/>
        </w:rPr>
        <w:t>5. Machine Learning Architectures &amp; Provenance</w:t>
      </w:r>
    </w:p>
    <w:p w14:paraId="7F7FA9B4" w14:textId="432C5DF0" w:rsidR="002517ED" w:rsidRPr="002517ED" w:rsidRDefault="002517ED" w:rsidP="002517ED">
      <w:r>
        <w:rPr>
          <w:highlight w:val="cyan"/>
        </w:rPr>
        <w:t>With the raw LDES streams transformed into a physically aligned, delta-tracked feature matrix, the predictive task shifts to representing both linear and nonlinear temporal relationships in the canal. The modelling suite combines Ridge regression, XGBoost and SVR with the LSTM and TCN sequence architectures, and includes Chronos-2 as a frozen zero-shot foundation-model benchmark. To support reproducibility within the Water Data Space, the resulting local and externally pretrained configurations can be documented using semantic provenance vocabularies.</w:t>
      </w:r>
    </w:p>
    <w:p w14:paraId="5F9E60B0" w14:textId="77777777" w:rsidR="002517ED" w:rsidRDefault="002517ED" w:rsidP="002517ED">
      <w:pPr>
        <w:rPr>
          <w:b/>
          <w:bCs/>
        </w:rPr>
      </w:pPr>
      <w:r w:rsidRPr="002517ED">
        <w:rPr>
          <w:b/>
          <w:bCs/>
        </w:rPr>
        <w:t>5.1. Tree-Based Baselines and Variance Underestimation</w:t>
      </w:r>
    </w:p>
    <w:p w14:paraId="43621075" w14:textId="78678AD9" w:rsidR="00303EDF" w:rsidRPr="00F47C08" w:rsidRDefault="00303EDF" w:rsidP="00303EDF">
      <w:pPr>
        <w:rPr>
          <w:highlight w:val="cyan"/>
        </w:rPr>
      </w:pPr>
      <w:r w:rsidRPr="00F47C08">
        <w:rPr>
          <w:highlight w:val="cyan"/>
        </w:rPr>
        <w:t xml:space="preserve">Decision-tree ensembles, such as Extreme Gradient Boosting (XGBoost) and Random Forest, are widely utilized due to their robust handling of non-linear step-functions. However, standard regression trees suffer from a major mathematical limitation: they cannot extrapolate. When predicting absolute future values </w:t>
      </w:r>
      <m:oMath>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y</m:t>
            </m:r>
          </m:e>
          <m:sub>
            <m:r>
              <w:rPr>
                <w:rFonts w:ascii="Cambria Math" w:hAnsi="Cambria Math"/>
                <w:highlight w:val="cyan"/>
              </w:rPr>
              <m:t>t+h</m:t>
            </m:r>
          </m:sub>
        </m:sSub>
        <m:r>
          <w:rPr>
            <w:rFonts w:ascii="Cambria Math" w:hAnsi="Cambria Math"/>
            <w:highlight w:val="cyan"/>
          </w:rPr>
          <m:t>)</m:t>
        </m:r>
      </m:oMath>
      <w:r w:rsidRPr="00F47C08">
        <w:rPr>
          <w:highlight w:val="cyan"/>
        </w:rPr>
        <w:t>, if a physical event pushes salinity levels below any threshold seen in the training set, a standard tree-based model will flatline, clamping its predictions at the minimum training average and failing to reach the absolute depths of the target troughs.</w:t>
      </w:r>
    </w:p>
    <w:p w14:paraId="4EA1C4B8" w14:textId="7A37C5AA" w:rsidR="00303EDF" w:rsidRPr="00F47C08" w:rsidRDefault="005C53B3" w:rsidP="00303EDF">
      <w:pPr>
        <w:rPr>
          <w:highlight w:val="cyan"/>
        </w:rPr>
      </w:pPr>
      <w:r w:rsidRPr="00F47C08">
        <w:rPr>
          <w:highlight w:val="cyan"/>
        </w:rPr>
        <w:t>In this pipeline, this limitation is addressed through the Delta-Tracking (differential) formulation. By shifting the target variable to the localized 1-hour gradient:</w:t>
      </w:r>
    </w:p>
    <w:p w14:paraId="486B32FF" w14:textId="1038A877" w:rsidR="005C53B3" w:rsidRPr="00F47C08" w:rsidRDefault="005C53B3" w:rsidP="00303EDF">
      <w:pPr>
        <w:jc w:val="center"/>
        <w:rPr>
          <w:rFonts w:eastAsiaTheme="minorEastAsia"/>
          <w:highlight w:val="cyan"/>
        </w:rPr>
      </w:pPr>
      <m:oMathPara>
        <m:oMath>
          <m:r>
            <m:rPr>
              <m:sty m:val="p"/>
            </m:rPr>
            <w:rPr>
              <w:rFonts w:ascii="Cambria Math" w:hAnsi="Cambria Math"/>
              <w:highlight w:val="cyan"/>
            </w:rPr>
            <m:t>ΔₕY(t) = Y(t+h) - Y(t),     h = 4 samples</m:t>
          </m:r>
        </m:oMath>
      </m:oMathPara>
    </w:p>
    <w:p w14:paraId="297F1353" w14:textId="5730753F" w:rsidR="005E18A0" w:rsidRPr="00F47C08" w:rsidRDefault="00BE057E" w:rsidP="00303EDF">
      <w:pPr>
        <w:rPr>
          <w:highlight w:val="cyan"/>
        </w:rPr>
      </w:pPr>
      <w:r w:rsidRPr="00F47C08">
        <w:rPr>
          <w:highlight w:val="cyan"/>
        </w:rPr>
        <w:t>the tree ensemble is relieved of the burden of tracking absolute global scales. Instead, it is tasked solely with predicting bounded, localized step deltas. During inference, the absolute future state is reconstructed dynamically:</w:t>
      </w:r>
    </w:p>
    <w:p w14:paraId="4A313325" w14:textId="5DF20387" w:rsidR="00BE057E" w:rsidRPr="00F47C08" w:rsidRDefault="00B67355" w:rsidP="00303EDF">
      <w:pPr>
        <w:jc w:val="center"/>
        <w:rPr>
          <w:rFonts w:eastAsiaTheme="minorEastAsia"/>
          <w:highlight w:val="cyan"/>
        </w:rPr>
      </w:pPr>
      <m:oMathPara>
        <m:oMath>
          <m:r>
            <m:rPr>
              <m:sty m:val="p"/>
            </m:rPr>
            <w:rPr>
              <w:rFonts w:ascii="Cambria Math" w:hAnsi="Cambria Math"/>
              <w:highlight w:val="cyan"/>
            </w:rPr>
            <m:t>Ŷ(t+h) = Y(t) + Δ̂ₕY(t)</m:t>
          </m:r>
        </m:oMath>
      </m:oMathPara>
    </w:p>
    <w:p w14:paraId="134A1446" w14:textId="0BA13DF9" w:rsidR="001D014E" w:rsidRPr="002517ED" w:rsidRDefault="001D014E" w:rsidP="00303EDF">
      <w:r w:rsidRPr="00F47C08">
        <w:rPr>
          <w:highlight w:val="cyan"/>
        </w:rPr>
        <w:t>Because the forecast is anchored to the real-time baseline value Y(t) measured at the target site, delta reconstruction can reduce absolute-scale boundary effects. Whether it improves extreme-event prediction must nevertheless be established from held-out evaluation results.</w:t>
      </w:r>
    </w:p>
    <w:p>
      <w:pPr>
        <w:rPr>
          <w:b/>
          <w:bCs/>
        </w:rPr>
      </w:pPr>
      <w:r>
        <w:rPr>
          <w:b/>
          <w:bCs/>
        </w:rPr>
        <w:t>5.2. Regularized Linear Forecasting via Ridge Regression</w:t>
      </w:r>
    </w:p>
    <w:p>
      <w:pPr>
        <w:rPr>
          <w:highlight w:val="cyan"/>
        </w:rPr>
      </w:pPr>
      <w:r>
        <w:rPr>
          <w:highlight w:val="cyan"/>
        </w:rPr>
        <w:t>Ridge regression was included as a regularized linear reference for the high-dimensional and strongly correlated lag representation. After training-only feature standardization, it estimates a coefficient matrix for the complete multi-step delta trajectory by minimizing squared prediction error together with an L2 penalty on the coefficients. The regularization strength was fixed at alpha = 10.0.</w:t>
      </w:r>
    </w:p>
    <w:p>
      <w:pPr>
        <w:rPr>
          <w:highlight w:val="cyan"/>
        </w:rPr>
      </w:pPr>
      <w:r>
        <w:rPr>
          <w:highlight w:val="cyan"/>
        </w:rPr>
        <w:t>Unlike feature selection, L2 regularization retains every sensor-lag input but shrinks unstable coefficients toward zero. Ridge therefore provides an explicit linear benchmark against which the additional functional flexibility of kernels, trees, recurrent networks, convolutions and the pretrained foundation model can be evaluated under the same chronological protocol.</w:t>
      </w:r>
    </w:p>
    <w:p w14:paraId="50130423" w14:textId="77777777" w:rsidR="002517ED" w:rsidRPr="002517ED" w:rsidRDefault="002517ED" w:rsidP="002517ED">
      <w:pPr>
        <w:rPr>
          <w:b/>
          <w:bCs/>
        </w:rPr>
      </w:pPr>
      <w:r>
        <w:rPr>
          <w:b/>
          <w:bCs/>
        </w:rPr>
        <w:t>5.3. Continuous Function Mapping via Support Vector Regression</w:t>
      </w:r>
    </w:p>
    <w:p w14:paraId="04928F68" w14:textId="61109A2C" w:rsidR="002517ED" w:rsidRPr="00F47C08" w:rsidRDefault="00303EDF" w:rsidP="002517ED">
      <w:pPr>
        <w:rPr>
          <w:highlight w:val="cyan"/>
        </w:rPr>
      </w:pPr>
      <w:r w:rsidRPr="00F47C08">
        <w:rPr>
          <w:highlight w:val="cyan"/>
        </w:rPr>
        <w:t>W</w:t>
      </w:r>
      <w:r w:rsidR="002517ED" w:rsidRPr="00F47C08">
        <w:rPr>
          <w:highlight w:val="cyan"/>
        </w:rPr>
        <w:t>e evaluated Support Vector Regression (SVR) equipped with a Radial Basis Function (RBF) kernel. Unlike XGBoost, SVR computes a continuous mathematical function by mapping the input space into a high-dimensional feature space where a linear regression tube (defined by an insensitive loss function) is fitted.</w:t>
      </w:r>
    </w:p>
    <w:p w14:paraId="05943059" w14:textId="77777777" w:rsidR="002517ED" w:rsidRPr="00F47C08" w:rsidRDefault="002517ED" w:rsidP="002517ED">
      <w:pPr>
        <w:rPr>
          <w:highlight w:val="cyan"/>
        </w:rPr>
      </w:pPr>
      <w:r w:rsidRPr="00F47C08">
        <w:rPr>
          <w:highlight w:val="cyan"/>
        </w:rPr>
        <w:t>The RBF kernel computes the spatial-temporal distance between the aligned sensor features:</w:t>
      </w:r>
    </w:p>
    <w:p w14:paraId="468A598A" w14:textId="10D84489" w:rsidR="00DC2803" w:rsidRPr="002517ED" w:rsidRDefault="00D95802" w:rsidP="002517ED">
      <w:pPr>
        <w:jc w:val="center"/>
      </w:pPr>
      <m:oMathPara>
        <m:oMath>
          <m:r>
            <m:rPr>
              <m:sty m:val="p"/>
            </m:rPr>
            <w:rPr>
              <w:rFonts w:ascii="Cambria Math" w:hAnsi="Cambria Math"/>
              <w:highlight w:val="cyan"/>
            </w:rPr>
            <m:t>K(x, x') = exp[-γ‖x - x'‖₂²]</m:t>
          </m:r>
        </m:oMath>
      </m:oMathPara>
    </w:p>
    <w:p w14:paraId="4C578B82" w14:textId="790F9CA3" w:rsidR="005F66AC" w:rsidRPr="008355BD" w:rsidRDefault="005F66AC" w:rsidP="005F66AC">
      <w:pPr>
        <w:rPr>
          <w:b/>
          <w:bCs/>
        </w:rPr>
      </w:pPr>
      <w:r>
        <w:rPr>
          <w:b/>
          <w:bCs/>
        </w:rPr>
        <w:t>5.4. Temporal Convolutional Network</w:t>
      </w:r>
    </w:p>
    <w:p w14:paraId="56B72EC0" w14:textId="7E5261DE" w:rsidR="005F66AC" w:rsidRPr="00F47C08" w:rsidRDefault="00D82B54" w:rsidP="00123DEC">
      <w:pPr>
        <w:rPr>
          <w:highlight w:val="cyan"/>
        </w:rPr>
      </w:pPr>
      <w:r w:rsidRPr="00F47C08">
        <w:rPr>
          <w:highlight w:val="cyan"/>
        </w:rPr>
        <w:t xml:space="preserve">A Temporal Convolutional Network was selected because it can model long sequential dependencies using causal and dilated one-dimensional convolutions. Unlike a conventional feed-forward neural network, which treats observations independently, the TCN receives an ordered historical sequence and learns temporal patterns within that sequence. Unlike recurrent architectures such as Long Short-Term Memory networks, the TCN processes </w:t>
      </w:r>
      <w:r w:rsidRPr="00F47C08">
        <w:rPr>
          <w:highlight w:val="cyan"/>
        </w:rPr>
        <w:lastRenderedPageBreak/>
        <w:t>multiple temporal positions in parallel and does not require information to be propagated sequentially through hundreds of recurrent steps.</w:t>
      </w:r>
    </w:p>
    <w:p w14:paraId="002FF069" w14:textId="411ECFB8" w:rsidR="00D82B54" w:rsidRPr="00F47C08" w:rsidRDefault="00D82B54" w:rsidP="00D82B54">
      <w:pPr>
        <w:rPr>
          <w:highlight w:val="cyan"/>
        </w:rPr>
      </w:pPr>
      <w:r w:rsidRPr="00F47C08">
        <w:rPr>
          <w:highlight w:val="cyan"/>
        </w:rPr>
        <w:t>Convolutions are used to preserve the direction of time. For a representation calculated at time t, a convolution may use observations at t and earlier times, but never observations after t. The network therefore cannot obtain information from the period it is intended to forecast. Dilated convolutions allowed the network to examine increasingly distant parts of the historical sequence without requiring an excessively deep architecture. Six dilation levels were used accordingly; 1, 2, 4, 8, 16, 32.</w:t>
      </w:r>
      <w:r w:rsidR="00E64EAB" w:rsidRPr="00F47C08">
        <w:rPr>
          <w:highlight w:val="cyan"/>
        </w:rPr>
        <w:t xml:space="preserve"> At small dilation rates, the network can represent short-duration changes, such as a recent increase in conductivity. At larger dilation rates, it can combine information separated by many hours and represent longer processes such as tidal variation, gradual salinity intrusion and delayed relationships among geographically separated sensors.</w:t>
      </w:r>
    </w:p>
    <w:p w14:paraId="4A494997" w14:textId="77076327" w:rsidR="00E64EAB" w:rsidRPr="00F47C08" w:rsidRDefault="00E64EAB" w:rsidP="00D82B54">
      <w:pPr>
        <w:rPr>
          <w:highlight w:val="cyan"/>
        </w:rPr>
      </w:pPr>
      <w:r w:rsidRPr="00F47C08">
        <w:rPr>
          <w:highlight w:val="cyan"/>
        </w:rPr>
        <w:t>Each dilation level was implemented as a residual block containing two causal convolutional layers. Each convolution used 24 filters and a kernel size of five. Layer normalization rectified linear activation and spatial dropout with a rate of 0.10 were applied after each convolution. A shortcut connection added the block input to its transformed representation. These residual connections improve optimization by allowing information and gradients to pass through the network without being repeatedly transformed.</w:t>
      </w:r>
    </w:p>
    <w:p w14:paraId="7EE50F80" w14:textId="141642CD" w:rsidR="00E64EAB" w:rsidRDefault="00B84759" w:rsidP="00B84759">
      <w:r w:rsidRPr="00F47C08">
        <w:rPr>
          <w:highlight w:val="cyan"/>
        </w:rPr>
        <w:t>The theoretical receptive field of the convolutional stack exceeded the 288-sample input length. Therefore, the final encoded representation could incorporate information from the complete 72-hour observation window. The latest encoded time step was passed to a fully connected layer with 32 units, followed by a single output neuron representing the scaled change in industrial target’s conductivity four hours ahead. The resulting model contained 34,121 trainable parameters, providing sufficient capacity to represent nonlinear temporal relationships while remaining relatively compact.</w:t>
      </w:r>
    </w:p>
    <w:p w14:paraId="5FFB56B4" w14:textId="6B1714F8" w:rsidR="00B84759" w:rsidRPr="007A01EF" w:rsidRDefault="00B84759" w:rsidP="00B84759">
      <w:pPr>
        <w:rPr>
          <w:strike/>
        </w:rPr>
      </w:pPr>
      <w:r w:rsidRPr="007A01EF">
        <w:rPr>
          <w:strike/>
        </w:rPr>
        <w:t>Importantly, the TCN was not provided with a manually shifted 42-hour Terneuzen feature. No input column was constructed using a fixed delay, and no cross-correlation-derived lag was imposed before training. Instead, the network received the complete 0–72-hour history of every sensor. The dilated convolutions were allowed to determine which parts of these histories were useful for the four-hour Indusii forecast. This avoided embedding the earlier propagation hypothesis directly into the model and allowed alternative temporal relationships to emerge from the data.</w:t>
      </w:r>
    </w:p>
    <w:p w14:paraId="7703474A" w14:textId="3E3DDF65" w:rsidR="00B84759" w:rsidRDefault="00B84759" w:rsidP="001D4FC1">
      <w:r w:rsidRPr="00F47C08">
        <w:rPr>
          <w:highlight w:val="cyan"/>
        </w:rPr>
        <w:t>The model was optimized using Adam with a learning rate and gradient clipping. Huber loss was used as the optimization objective. Huber loss behaves quadratically for small residuals and approximately linearly for large residuals, making it less sensitive than mean squared error to occasional conductivity spikes while retaining smooth gradients around typical errors. Mean absolute error was monitored as an additional metric but did not control weight updates.</w:t>
      </w:r>
    </w:p>
    <w:p w14:paraId="5FB477A0" w14:textId="6B8C0F34" w:rsidR="00787EDB" w:rsidRPr="008355BD" w:rsidRDefault="00787EDB" w:rsidP="00787EDB">
      <w:pPr>
        <w:rPr>
          <w:b/>
          <w:bCs/>
        </w:rPr>
      </w:pPr>
      <w:r>
        <w:rPr>
          <w:b/>
          <w:bCs/>
        </w:rPr>
        <w:t>5.5. LSTM Autoencoder and Forecaster</w:t>
      </w:r>
    </w:p>
    <w:p w14:paraId="0525B728" w14:textId="77777777" w:rsidR="00714C4A" w:rsidRDefault="00787EDB" w:rsidP="00787EDB">
      <w:pPr>
        <w:rPr>
          <w:strike/>
        </w:rPr>
      </w:pPr>
      <w:r w:rsidRPr="00787EDB">
        <w:rPr>
          <w:strike/>
        </w:rPr>
        <w:t xml:space="preserve">While SVR operates on discrete tabular snapshots, salinity intrusion is inherently sequential. To capture the full spatial-temporal trajectory of the saltwater mass, </w:t>
      </w:r>
    </w:p>
    <w:p w14:paraId="295E11AA" w14:textId="6589AE96" w:rsidR="00787EDB" w:rsidRPr="00714C4A" w:rsidRDefault="00787EDB" w:rsidP="00787EDB">
      <w:r w:rsidRPr="00F47C08">
        <w:rPr>
          <w:highlight w:val="cyan"/>
        </w:rPr>
        <w:lastRenderedPageBreak/>
        <w:t>we implement a two-stage Long Short-Term Memory (LSTM) autoencoder and forecaster.</w:t>
      </w:r>
      <w:r w:rsidR="00714C4A" w:rsidRPr="00F47C08">
        <w:rPr>
          <w:highlight w:val="cyan"/>
        </w:rPr>
        <w:t xml:space="preserve"> In the denoising encoder, </w:t>
      </w:r>
      <w:r w:rsidR="00E71ADF" w:rsidRPr="00F47C08">
        <w:rPr>
          <w:highlight w:val="cyan"/>
        </w:rPr>
        <w:t>the</w:t>
      </w:r>
      <w:r w:rsidR="00714C4A" w:rsidRPr="00F47C08">
        <w:rPr>
          <w:highlight w:val="cyan"/>
        </w:rPr>
        <w:t xml:space="preserve"> input tensor is subjected to Gaussian Noise and passed through stacked LSTM layers to compress the physical state into a low-dimensional latent bottleneck vector, filtering out localized sensor anomalies. After autoencoder pretraining in the forecasting stage, the encoder is reused by a dense forecasting head. The encoder is first frozen while the head is trained and is then unfrozen for end-to-end fine-tuning.</w:t>
      </w:r>
    </w:p>
    <w:p w14:paraId="18D866C0" w14:textId="77777777" w:rsidR="00787EDB" w:rsidRPr="00787EDB" w:rsidRDefault="00787EDB" w:rsidP="00787EDB">
      <w:pPr>
        <w:rPr>
          <w:strike/>
        </w:rPr>
      </w:pPr>
      <w:r w:rsidRPr="00787EDB">
        <w:rPr>
          <w:strike/>
        </w:rPr>
        <w:t>Instead of tabular rows, the model ingests rolling multivariate tensors Xᵢ ∈ R^(192 × 4), where 192 quarter-hour samples represent a 48-hour lookback and the four columns represent the four upstream sensors. The target yᵢ ∈ R^16 is a 16-step (4-hour) sequence of scaled absolute values at Indusii, rather than a scalar delta.</w:t>
      </w:r>
    </w:p>
    <w:p w14:paraId="0104C5BA" w14:textId="68823000" w:rsidR="00787EDB" w:rsidRPr="00787EDB" w:rsidRDefault="00787EDB" w:rsidP="00787EDB">
      <w:pPr>
        <w:numPr>
          <w:ilvl w:val="0"/>
          <w:numId w:val="3"/>
        </w:numPr>
        <w:rPr>
          <w:strike/>
        </w:rPr>
      </w:pPr>
      <w:r w:rsidRPr="00787EDB">
        <w:rPr>
          <w:b/>
          <w:strike/>
        </w:rPr>
        <w:t>Forecasting Stage:</w:t>
      </w:r>
      <w:r w:rsidRPr="00787EDB">
        <w:rPr>
          <w:strike/>
        </w:rPr>
        <w:t xml:space="preserve">, </w:t>
      </w:r>
    </w:p>
    <w:p w14:paraId="2B0AFDB9" w14:textId="5CDB9E12" w:rsidR="00787EDB" w:rsidRDefault="00787EDB" w:rsidP="00787EDB">
      <w:pPr>
        <w:rPr>
          <w:strike/>
        </w:rPr>
      </w:pPr>
      <w:r w:rsidRPr="00787EDB">
        <w:rPr>
          <w:strike/>
        </w:rPr>
        <w:t xml:space="preserve">The implementation optimizes reconstruction and forecasting sequentially rather than through a simultaneous joint loss. </w:t>
      </w:r>
    </w:p>
    <w:p w14:paraId="7436EE9A" w14:textId="15D16850" w:rsidR="00787EDB" w:rsidRDefault="00787EDB" w:rsidP="005A3A6C">
      <w:r w:rsidRPr="00F47C08">
        <w:rPr>
          <w:highlight w:val="cyan"/>
        </w:rPr>
        <w:t>The LSTM experiment used exactly the same data preparation, chronological partitions, input variables, prediction targets and evaluation windows as the corresponding TCN experiment. The network consisted of two stacked LSTM layers. The first layer contained 64 recurrent units and returned an encoded representation for every historical time step.</w:t>
      </w:r>
      <w:r w:rsidR="00F61B36" w:rsidRPr="00F47C08">
        <w:rPr>
          <w:highlight w:val="cyan"/>
        </w:rPr>
        <w:t xml:space="preserve"> </w:t>
      </w:r>
      <w:r w:rsidRPr="00F47C08">
        <w:rPr>
          <w:highlight w:val="cyan"/>
        </w:rPr>
        <w:t>The network was optimized using Adam with an initial learning rate and gradient-norm clipping at Huber loss similar to TCN.</w:t>
      </w:r>
      <w:r w:rsidR="005A3A6C">
        <w:t xml:space="preserve"> </w:t>
      </w:r>
    </w:p>
    <w:p w14:paraId="784D44CF" w14:textId="62963A1A" w:rsidR="005A3A6C" w:rsidRPr="007A01EF" w:rsidRDefault="005A3A6C" w:rsidP="005A3A6C">
      <w:pPr>
        <w:rPr>
          <w:strike/>
        </w:rPr>
      </w:pPr>
      <w:r w:rsidRPr="007A01EF">
        <w:rPr>
          <w:strike/>
        </w:rPr>
        <w:t>Importantly, the LSTM was not supplied with a manually shifted 42-hour Terneuzen feature. The network received the unshifted 72-hour history of every station and was allowed to regulate its temporal memory through its recurrent input, forget and output gates. The model could therefore learn statistical dependencies at approximately 42 hours if supported by the data, but that delay was neither prescribed nor guaranteed by the architecture. Consequently, the experiment evaluates whether useful propagation information can emerge from the complete observation history without embedding the earlier cross-correlation result directly into the model.</w:t>
      </w:r>
    </w:p>
    <w:p>
      <w:pPr>
        <w:rPr>
          <w:b/>
          <w:bCs/>
        </w:rPr>
      </w:pPr>
      <w:r>
        <w:rPr>
          <w:b/>
          <w:bCs/>
        </w:rPr>
        <w:t>5.6. Zero-Shot Probabilistic Forecasting with Chronos-2</w:t>
      </w:r>
    </w:p>
    <w:p>
      <w:pPr>
        <w:rPr>
          <w:highlight w:val="cyan"/>
        </w:rPr>
      </w:pPr>
      <w:r>
        <w:rPr>
          <w:highlight w:val="cyan"/>
        </w:rPr>
        <w:t>Chronos-2 was included as a pretrained time-series foundation model rather than a locally optimized network. The 120-million-parameter amazon/chronos-2 checkpoint first applies robust per-series scaling, divides each series into non-overlapping temporal patches and maps those patches to learned embeddings. Its transformer blocks alternate attention over time within a series with group attention across related series, enabling target and covariate histories to be processed within one forecasting task.</w:t>
      </w:r>
    </w:p>
    <w:p>
      <w:pPr>
        <w:rPr>
          <w:highlight w:val="cyan"/>
        </w:rPr>
      </w:pPr>
      <w:r>
        <w:rPr>
          <w:highlight w:val="cyan"/>
        </w:rPr>
        <w:t>For this study, industrial-site conductivity was the target series and the four upstream conductivity histories were past-only covariates. The complete unshifted history was passed in physical units, with no future covariate values and no manually prescribed propagation lag. The frozen model generated direct quantile forecasts over the complete requested horizon. The median (0.5 quantile) was used as the point forecast, while the 0.1 and 0.9 quantiles were retained to describe forecast uncertainty.</w:t>
      </w:r>
    </w:p>
    <w:p>
      <w:pPr>
        <w:rPr>
          <w:highlight w:val="cyan"/>
        </w:rPr>
      </w:pPr>
      <w:r>
        <w:rPr>
          <w:highlight w:val="cyan"/>
        </w:rPr>
        <w:t>No canal observations were used to update the Chronos-2 parameters. A separate, predeclared August-only calibration estimated one residual multiplier per lead, constrained to [0, 1], so that calibrated residuals could only shrink toward the persistence forecast. The raw zero-shot output was retained alongside this calibrated configuration for held-out evaluation; neither configuration changes the pretrained model weights.</w:t>
      </w:r>
    </w:p>
    <w:p w14:paraId="2018F150" w14:textId="6EEB3EDB" w:rsidR="002517ED" w:rsidRPr="002517ED" w:rsidRDefault="002517ED" w:rsidP="002517ED">
      <w:pPr>
        <w:rPr>
          <w:b/>
          <w:bCs/>
        </w:rPr>
      </w:pPr>
      <w:r>
        <w:rPr>
          <w:b/>
          <w:bCs/>
        </w:rPr>
        <w:t>5.7. Semantic Model Provenance with MLDCAT-AP</w:t>
      </w:r>
    </w:p>
    <w:p w14:paraId="15293902" w14:textId="04FF4038" w:rsidR="00DE118E" w:rsidRPr="00F47C08" w:rsidRDefault="00DE118E" w:rsidP="00DE118E">
      <w:pPr>
        <w:rPr>
          <w:highlight w:val="cyan"/>
        </w:rPr>
      </w:pPr>
      <w:r>
        <w:rPr>
          <w:highlight w:val="cyan"/>
        </w:rPr>
        <w:t>A critical challenge in modern data science is the isolation of machine learning artifacts from their underlying data architecture. To integrate the locally trained artifacts and the Chronos-2 inference configuration into the wider data space, we provide MLDCAT-AP 2.0 Turtle metadata. The existing record describes the published Seq2Seq forecaster, while model-specific records can distinguish trained artifacts from externally pretrained dependencies.</w:t>
      </w:r>
    </w:p>
    <w:p w14:paraId="2E52B31F" w14:textId="60FADC1E" w:rsidR="00821DCE" w:rsidRPr="00F47C08" w:rsidRDefault="00DE118E" w:rsidP="00DE118E">
      <w:pPr>
        <w:rPr>
          <w:highlight w:val="cyan"/>
        </w:rPr>
      </w:pPr>
      <w:r w:rsidRPr="00F47C08">
        <w:rPr>
          <w:highlight w:val="cyan"/>
        </w:rPr>
        <w:t>To support transparent provenance and open science principles, the metadata explicitly defines the creator's identity, linking the model's authorship to institutional affiliations. Furthermore, the graph captures the artifact's CC-BY 4.0 open license, semantic versioning, cryptographic checksums, and its source code repository.</w:t>
      </w:r>
    </w:p>
    <w:p>
      <w:pPr>
        <w:rPr>
          <w:highlight w:val="cyan"/>
        </w:rPr>
      </w:pPr>
      <w:r>
        <w:rPr>
          <w:highlight w:val="cyan"/>
        </w:rPr>
        <w:t>For Ridge, the provenance record should include the training split, feature and target scalers, alpha value and software version. For Chronos-2, it should record the upstream model identifier and revision, package version, license and checkpoint checksum, zero-shot status, input and covariate schema, requested quantiles, inference device and numerical precision, and the separate validation-only calibration parameters. These fields make clear which components were learned locally and which were inherited from the pretrained checkpoint.</w:t>
      </w:r>
    </w:p>
    <w:p w14:paraId="03447D2D" w14:textId="4BAD7B98" w:rsidR="00DE118E" w:rsidRPr="00F47C08" w:rsidRDefault="00DE118E" w:rsidP="00DE118E">
      <w:pPr>
        <w:rPr>
          <w:highlight w:val="cyan"/>
        </w:rPr>
      </w:pPr>
      <w:r>
        <w:rPr>
          <w:highlight w:val="cyan"/>
        </w:rPr>
        <w:t>Crucially, the MLDCAT-AP record formally encodes the intended use and operational boundaries of each model configuration. The metadata specifies the input window, forecast horizon, temporal resolution, required preprocessing and scalers, and the target and covariate schema. Until held-out results are finalized, empirical accuracy limitations and comparative performance remain unspecified; supported limitations can be added to the record after evaluation without changing the method definition.</w:t>
      </w:r>
    </w:p>
    <w:tbl>
      <w:tblPr>
        <w:tblStyle w:val="TableGrid"/>
        <w:tblW w:w="0" w:type="auto"/>
        <w:tblBorders>
          <w:top w:val="single" w:sz="4" w:space="0" w:color="F4F4F4"/>
          <w:left w:val="single" w:sz="4" w:space="0" w:color="F4F4F4"/>
          <w:bottom w:val="single" w:sz="4" w:space="0" w:color="F4F4F4"/>
          <w:right w:val="single" w:sz="4" w:space="0" w:color="F4F4F4"/>
          <w:insideH w:val="single" w:sz="4" w:space="0" w:color="F4F4F4"/>
          <w:insideV w:val="single" w:sz="4" w:space="0" w:color="F4F4F4"/>
        </w:tblBorders>
        <w:tblLook w:val="04A0" w:firstRow="1" w:lastRow="0" w:firstColumn="1" w:lastColumn="0" w:noHBand="0" w:noVBand="1"/>
      </w:tblPr>
      <w:tblGrid>
        <w:gridCol w:w="9242"/>
      </w:tblGrid>
      <w:tr w:rsidR="00BF04AA" w:rsidRPr="00F47C08" w14:paraId="4DF731F9" w14:textId="77777777" w:rsidTr="00BF04AA">
        <w:tc>
          <w:tcPr>
            <w:tcW w:w="9242" w:type="dxa"/>
          </w:tcPr>
          <w:p w14:paraId="09D54229"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@prefix MLDCAT: &lt;https://semiceu.github.io/MLDCAT-AP/releases/2.0.0/&gt; .</w:t>
            </w:r>
          </w:p>
          <w:p w14:paraId="2802B798"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&lt;https://shehabeldeenayman.github.io/Gent-Terneuzen-canal/forecaster_v2&gt;</w:t>
            </w:r>
          </w:p>
          <w:p w14:paraId="0B4A18EA"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a MLDCAT:MachineLearningModel ;</w:t>
            </w:r>
          </w:p>
          <w:p w14:paraId="34AA828E"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dcterms:title "LSTM Seq2Seq Water Conductivity Forecaster v2" ;</w:t>
            </w:r>
          </w:p>
          <w:p w14:paraId="0C5F483F"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MLDCAT:hasOutputFilePrediction &lt;.../model.json&gt; ;</w:t>
            </w:r>
          </w:p>
          <w:p w14:paraId="041BEA73" w14:textId="1446A07D"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MLDCAT:hasUploader &lt;https://github.com/shehabeldeenayman&gt; ;</w:t>
            </w:r>
          </w:p>
          <w:p w14:paraId="7042CE74" w14:textId="6FCF56A3" w:rsidR="00BF04AA" w:rsidRPr="00F47C08" w:rsidRDefault="00BF04AA" w:rsidP="00BF04AA">
            <w:pPr>
              <w:rPr>
                <w:rFonts w:ascii="Consolas" w:hAnsi="Consolas"/>
                <w:sz w:val="17"/>
                <w:szCs w:val="17"/>
                <w:highlight w:val="cyan"/>
              </w:rPr>
            </w:pPr>
          </w:p>
        </w:tc>
      </w:tr>
    </w:tbl>
    <w:p w14:paraId="414F8CB3" w14:textId="3B4DFA65" w:rsidR="000C44F0" w:rsidRPr="007E0279" w:rsidRDefault="007E0279" w:rsidP="007E0279">
      <w:pPr>
        <w:pStyle w:val="Caption"/>
        <w:jc w:val="center"/>
      </w:pPr>
      <w:r w:rsidRPr="00F47C08">
        <w:rPr>
          <w:highlight w:val="cyan"/>
        </w:rPr>
        <w:t xml:space="preserve">Listing </w:t>
      </w:r>
      <w:r w:rsidRPr="00F47C08">
        <w:rPr>
          <w:highlight w:val="cyan"/>
        </w:rPr>
        <w:fldChar w:fldCharType="begin"/>
      </w:r>
      <w:r w:rsidRPr="00F47C08">
        <w:rPr>
          <w:highlight w:val="cyan"/>
        </w:rPr>
        <w:instrText xml:space="preserve"> SEQ Listing \* ARABIC </w:instrText>
      </w:r>
      <w:r w:rsidRPr="00F47C08">
        <w:rPr>
          <w:highlight w:val="cyan"/>
        </w:rPr>
        <w:fldChar w:fldCharType="separate"/>
      </w:r>
      <w:r w:rsidRPr="00F47C08">
        <w:rPr>
          <w:noProof/>
          <w:highlight w:val="cyan"/>
        </w:rPr>
        <w:t>1</w:t>
      </w:r>
      <w:r w:rsidRPr="00F47C08">
        <w:rPr>
          <w:noProof/>
          <w:highlight w:val="cyan"/>
        </w:rPr>
        <w:fldChar w:fldCharType="end"/>
      </w:r>
      <w:r w:rsidRPr="00F47C08">
        <w:rPr>
          <w:highlight w:val="cyan"/>
        </w:rPr>
        <w:t xml:space="preserve"> Abbreviated MLDCAT-AP RDF Turtle metadata for the forecaster</w:t>
      </w:r>
    </w:p>
    <w:sectPr w:rsidR="000C44F0" w:rsidRPr="007E0279" w:rsidSect="00431EE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Ayman" w:date="2026-08-14T10:28:00Z" w:initials="SA">
    <w:p w14:paraId="10407337" w14:textId="77777777" w:rsidR="00E75845" w:rsidRDefault="00E75845" w:rsidP="00E75845">
      <w:pPr>
        <w:pStyle w:val="CommentText"/>
        <w:jc w:val="left"/>
      </w:pPr>
      <w:r>
        <w:rPr>
          <w:rStyle w:val="CommentReference"/>
        </w:rPr>
        <w:annotationRef/>
      </w:r>
      <w:r>
        <w:t>Do we need to listings, one per deep learning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4073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A9B46B" w16cex:dateUtc="2026-08-14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407337" w16cid:durableId="48A9B4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085F"/>
    <w:multiLevelType w:val="multilevel"/>
    <w:tmpl w:val="8630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E062A"/>
    <w:multiLevelType w:val="multilevel"/>
    <w:tmpl w:val="02C47CB6"/>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7B01D69"/>
    <w:multiLevelType w:val="multilevel"/>
    <w:tmpl w:val="13D073F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1462884">
    <w:abstractNumId w:val="1"/>
  </w:num>
  <w:num w:numId="2" w16cid:durableId="1831826546">
    <w:abstractNumId w:val="2"/>
  </w:num>
  <w:num w:numId="3" w16cid:durableId="16313537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34CCA"/>
    <w:rsid w:val="00003686"/>
    <w:rsid w:val="00012C83"/>
    <w:rsid w:val="00016959"/>
    <w:rsid w:val="0003604B"/>
    <w:rsid w:val="0005781D"/>
    <w:rsid w:val="000B7068"/>
    <w:rsid w:val="000C44F0"/>
    <w:rsid w:val="000F4488"/>
    <w:rsid w:val="00120435"/>
    <w:rsid w:val="00123DEC"/>
    <w:rsid w:val="00154878"/>
    <w:rsid w:val="001A11CF"/>
    <w:rsid w:val="001B0728"/>
    <w:rsid w:val="001B5AA9"/>
    <w:rsid w:val="001D014E"/>
    <w:rsid w:val="001D4FC1"/>
    <w:rsid w:val="001E20CA"/>
    <w:rsid w:val="001E6101"/>
    <w:rsid w:val="0022395C"/>
    <w:rsid w:val="00232216"/>
    <w:rsid w:val="00243F66"/>
    <w:rsid w:val="002517ED"/>
    <w:rsid w:val="002746C0"/>
    <w:rsid w:val="002B037A"/>
    <w:rsid w:val="002F5391"/>
    <w:rsid w:val="00303EDF"/>
    <w:rsid w:val="00313FA2"/>
    <w:rsid w:val="00327986"/>
    <w:rsid w:val="0035600B"/>
    <w:rsid w:val="00410D46"/>
    <w:rsid w:val="00420800"/>
    <w:rsid w:val="004226D5"/>
    <w:rsid w:val="00431EE2"/>
    <w:rsid w:val="00497624"/>
    <w:rsid w:val="004B3264"/>
    <w:rsid w:val="004C7B92"/>
    <w:rsid w:val="005015A8"/>
    <w:rsid w:val="005A1422"/>
    <w:rsid w:val="005A3A6C"/>
    <w:rsid w:val="005B7DD5"/>
    <w:rsid w:val="005C49F2"/>
    <w:rsid w:val="005C53B3"/>
    <w:rsid w:val="005E18A0"/>
    <w:rsid w:val="005F66AC"/>
    <w:rsid w:val="006314E8"/>
    <w:rsid w:val="006412A7"/>
    <w:rsid w:val="00646A53"/>
    <w:rsid w:val="00653A55"/>
    <w:rsid w:val="00656D79"/>
    <w:rsid w:val="00697A2F"/>
    <w:rsid w:val="00697EBD"/>
    <w:rsid w:val="006F75EA"/>
    <w:rsid w:val="00714C4A"/>
    <w:rsid w:val="007179E2"/>
    <w:rsid w:val="00736C92"/>
    <w:rsid w:val="007664D4"/>
    <w:rsid w:val="00770078"/>
    <w:rsid w:val="00787EDB"/>
    <w:rsid w:val="007A01EF"/>
    <w:rsid w:val="007E0279"/>
    <w:rsid w:val="00821DCE"/>
    <w:rsid w:val="008355BD"/>
    <w:rsid w:val="00870721"/>
    <w:rsid w:val="0087220C"/>
    <w:rsid w:val="008A7479"/>
    <w:rsid w:val="008D1C52"/>
    <w:rsid w:val="008D7481"/>
    <w:rsid w:val="008F1C84"/>
    <w:rsid w:val="008F6765"/>
    <w:rsid w:val="009019C8"/>
    <w:rsid w:val="009467D0"/>
    <w:rsid w:val="00961B3D"/>
    <w:rsid w:val="00974194"/>
    <w:rsid w:val="009A78E8"/>
    <w:rsid w:val="009B04E7"/>
    <w:rsid w:val="00A27529"/>
    <w:rsid w:val="00A36479"/>
    <w:rsid w:val="00AC5BEF"/>
    <w:rsid w:val="00AE362B"/>
    <w:rsid w:val="00B25D50"/>
    <w:rsid w:val="00B34CCA"/>
    <w:rsid w:val="00B4010D"/>
    <w:rsid w:val="00B4014A"/>
    <w:rsid w:val="00B67355"/>
    <w:rsid w:val="00B6781E"/>
    <w:rsid w:val="00B84759"/>
    <w:rsid w:val="00BB3367"/>
    <w:rsid w:val="00BD0E30"/>
    <w:rsid w:val="00BD2CFF"/>
    <w:rsid w:val="00BE057E"/>
    <w:rsid w:val="00BF04AA"/>
    <w:rsid w:val="00C0584C"/>
    <w:rsid w:val="00C216CD"/>
    <w:rsid w:val="00C87DBE"/>
    <w:rsid w:val="00CA269F"/>
    <w:rsid w:val="00D133B2"/>
    <w:rsid w:val="00D76C09"/>
    <w:rsid w:val="00D82B54"/>
    <w:rsid w:val="00D95802"/>
    <w:rsid w:val="00DC2803"/>
    <w:rsid w:val="00DE118E"/>
    <w:rsid w:val="00DF4A2A"/>
    <w:rsid w:val="00E41309"/>
    <w:rsid w:val="00E57F06"/>
    <w:rsid w:val="00E64EAB"/>
    <w:rsid w:val="00E71ADF"/>
    <w:rsid w:val="00E75845"/>
    <w:rsid w:val="00E85712"/>
    <w:rsid w:val="00E91723"/>
    <w:rsid w:val="00F366A4"/>
    <w:rsid w:val="00F47C08"/>
    <w:rsid w:val="00F51D4F"/>
    <w:rsid w:val="00F61B36"/>
    <w:rsid w:val="00F953DC"/>
    <w:rsid w:val="00FA3A0E"/>
    <w:rsid w:val="00FA48C2"/>
    <w:rsid w:val="00FE3F17"/>
    <w:rsid w:val="00FE4BD4"/>
    <w:rsid w:val="00FF3678"/>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6B6"/>
  <w15:chartTrackingRefBased/>
  <w15:docId w15:val="{F3E2DFD7-E42D-4FB4-96D7-171909C0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C4A"/>
    <w:pPr>
      <w:jc w:val="both"/>
    </w:pPr>
    <w:rPr>
      <w:rFonts w:ascii="Times New Roman" w:hAnsi="Times New Roman"/>
      <w:sz w:val="24"/>
    </w:rPr>
  </w:style>
  <w:style w:type="paragraph" w:styleId="Heading1">
    <w:name w:val="heading 1"/>
    <w:basedOn w:val="Normal"/>
    <w:next w:val="Normal"/>
    <w:link w:val="Heading1Char"/>
    <w:autoRedefine/>
    <w:uiPriority w:val="1"/>
    <w:qFormat/>
    <w:rsid w:val="00012C83"/>
    <w:pPr>
      <w:keepNext/>
      <w:numPr>
        <w:numId w:val="2"/>
      </w:numPr>
      <w:spacing w:before="240" w:after="60" w:line="240" w:lineRule="auto"/>
      <w:ind w:hanging="360"/>
      <w:outlineLvl w:val="0"/>
    </w:pPr>
    <w:rPr>
      <w:rFonts w:asciiTheme="minorBidi" w:eastAsiaTheme="majorEastAsia" w:hAnsiTheme="minorBidi" w:cs="Arial"/>
      <w:b/>
      <w:color w:val="000000" w:themeColor="text1"/>
      <w:kern w:val="28"/>
      <w:sz w:val="32"/>
    </w:rPr>
  </w:style>
  <w:style w:type="paragraph" w:styleId="Heading2">
    <w:name w:val="heading 2"/>
    <w:basedOn w:val="Normal"/>
    <w:next w:val="Normal"/>
    <w:link w:val="Heading2Char"/>
    <w:autoRedefine/>
    <w:uiPriority w:val="1"/>
    <w:qFormat/>
    <w:rsid w:val="005C49F2"/>
    <w:pPr>
      <w:keepNext/>
      <w:spacing w:before="240" w:after="60"/>
      <w:outlineLvl w:val="1"/>
    </w:pPr>
    <w:rPr>
      <w:rFonts w:eastAsiaTheme="majorEastAsia" w:cs="Arial"/>
      <w:sz w:val="28"/>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2C83"/>
    <w:rPr>
      <w:rFonts w:asciiTheme="minorBidi" w:eastAsiaTheme="majorEastAsia" w:hAnsiTheme="minorBidi" w:cs="Arial"/>
      <w:b/>
      <w:color w:val="000000" w:themeColor="text1"/>
      <w:kern w:val="28"/>
      <w:sz w:val="32"/>
    </w:rPr>
  </w:style>
  <w:style w:type="character" w:customStyle="1" w:styleId="Heading2Char">
    <w:name w:val="Heading 2 Char"/>
    <w:basedOn w:val="DefaultParagraphFont"/>
    <w:link w:val="Heading2"/>
    <w:uiPriority w:val="1"/>
    <w:rsid w:val="005C49F2"/>
    <w:rPr>
      <w:rFonts w:eastAsiaTheme="majorEastAsia" w:cs="Arial"/>
      <w:sz w:val="28"/>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B34CCA"/>
    <w:pPr>
      <w:ind w:left="720"/>
      <w:contextualSpacing/>
    </w:pPr>
  </w:style>
  <w:style w:type="table" w:styleId="TableGrid">
    <w:name w:val="Table Grid"/>
    <w:basedOn w:val="TableNormal"/>
    <w:uiPriority w:val="39"/>
    <w:rsid w:val="00BF0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75845"/>
    <w:rPr>
      <w:sz w:val="16"/>
      <w:szCs w:val="16"/>
    </w:rPr>
  </w:style>
  <w:style w:type="paragraph" w:styleId="CommentText">
    <w:name w:val="annotation text"/>
    <w:basedOn w:val="Normal"/>
    <w:link w:val="CommentTextChar"/>
    <w:uiPriority w:val="99"/>
    <w:unhideWhenUsed/>
    <w:rsid w:val="00E75845"/>
    <w:pPr>
      <w:spacing w:line="240" w:lineRule="auto"/>
    </w:pPr>
    <w:rPr>
      <w:sz w:val="20"/>
      <w:szCs w:val="20"/>
    </w:rPr>
  </w:style>
  <w:style w:type="character" w:customStyle="1" w:styleId="CommentTextChar">
    <w:name w:val="Comment Text Char"/>
    <w:basedOn w:val="DefaultParagraphFont"/>
    <w:link w:val="CommentText"/>
    <w:uiPriority w:val="99"/>
    <w:rsid w:val="00E75845"/>
    <w:rPr>
      <w:sz w:val="20"/>
      <w:szCs w:val="20"/>
    </w:rPr>
  </w:style>
  <w:style w:type="paragraph" w:styleId="CommentSubject">
    <w:name w:val="annotation subject"/>
    <w:basedOn w:val="CommentText"/>
    <w:next w:val="CommentText"/>
    <w:link w:val="CommentSubjectChar"/>
    <w:uiPriority w:val="99"/>
    <w:semiHidden/>
    <w:unhideWhenUsed/>
    <w:rsid w:val="00E75845"/>
    <w:rPr>
      <w:b/>
      <w:bCs/>
    </w:rPr>
  </w:style>
  <w:style w:type="character" w:customStyle="1" w:styleId="CommentSubjectChar">
    <w:name w:val="Comment Subject Char"/>
    <w:basedOn w:val="CommentTextChar"/>
    <w:link w:val="CommentSubject"/>
    <w:uiPriority w:val="99"/>
    <w:semiHidden/>
    <w:rsid w:val="00E75845"/>
    <w:rPr>
      <w:b/>
      <w:bCs/>
      <w:sz w:val="20"/>
      <w:szCs w:val="20"/>
    </w:rPr>
  </w:style>
  <w:style w:type="paragraph" w:styleId="NormalWeb">
    <w:name w:val="Normal (Web)"/>
    <w:basedOn w:val="Normal"/>
    <w:uiPriority w:val="99"/>
    <w:semiHidden/>
    <w:unhideWhenUsed/>
    <w:rsid w:val="00D82B5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EF404-8753-4B30-91D5-018DFD599963}">
  <ds:schemaRefs>
    <ds:schemaRef ds:uri="http://schemas.openxmlformats.org/officeDocument/2006/bibliography"/>
  </ds:schemaRefs>
</ds:datastoreItem>
</file>

<file path=docMetadata/LabelInfo.xml><?xml version="1.0" encoding="utf-8"?>
<clbl:labelList xmlns:clbl="http://schemas.microsoft.com/office/2020/mipLabelMetadata">
  <clbl:label id="{9e2777ed-8237-4ab9-9278-2c144d6f6da3}" enabled="0" method="" siteId="{9e2777ed-8237-4ab9-9278-2c144d6f6da3}" removed="1"/>
</clbl:labelList>
</file>

<file path=docProps/app.xml><?xml version="1.0" encoding="utf-8"?>
<Properties xmlns="http://schemas.openxmlformats.org/officeDocument/2006/extended-properties" xmlns:vt="http://schemas.openxmlformats.org/officeDocument/2006/docPropsVTypes">
  <Template>Normal.dotm</Template>
  <TotalTime>185</TotalTime>
  <Pages>4</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Shehab.Ayman</cp:lastModifiedBy>
  <cp:revision>69</cp:revision>
  <dcterms:created xsi:type="dcterms:W3CDTF">2026-07-14T08:06:00Z</dcterms:created>
  <dcterms:modified xsi:type="dcterms:W3CDTF">2026-08-19T09:00:00Z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0a731a75-7545-464f-ab3e-69923e98e783</vt:lpwstr>
  </property>
</Properties>
</file>