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6"/>
          <w:szCs w:val="56"/>
        </w:rPr>
        <w:t xml:space="preserve">SMART PARKING PLATFORM</w:t>
      </w:r>
    </w:p>
    <w:p>
      <w:pPr>
        <w:spacing w:after="100" w:before="200"/>
        <w:jc w:val="center"/>
      </w:pPr>
      <w:r>
        <w:rPr>
          <w:color w:val="444444"/>
          <w:sz w:val="30"/>
          <w:szCs w:val="30"/>
        </w:rPr>
        <w:t xml:space="preserve">Stakeholder Analysis</w:t>
      </w:r>
    </w:p>
    <w:p>
      <w:pPr>
        <w:spacing w:after="900"/>
        <w:jc w:val="center"/>
      </w:pPr>
      <w:r>
        <w:rPr>
          <w:color w:val="444444"/>
          <w:sz w:val="30"/>
          <w:szCs w:val="30"/>
        </w:rPr>
        <w:t xml:space="preserve">Power–Interest Grid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Prepared by: WE ARE $oftware ¢orp.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Muhammad Murtaza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CIS 4374 19148</w:t>
      </w:r>
    </w:p>
    <w:p>
      <w:pPr>
        <w:jc w:val="center"/>
      </w:pPr>
      <w:r>
        <w:rPr>
          <w:color w:val="444444"/>
          <w:sz w:val="24"/>
          <w:szCs w:val="24"/>
        </w:rPr>
        <w:t xml:space="preserve">October 29, 2026</w:t>
      </w:r>
    </w:p>
    <w:p>
      <w:pPr>
        <w:spacing w:before="2400"/>
        <w:jc w:val="center"/>
      </w:pPr>
      <w:r>
        <w:rPr>
          <w:i/>
          <w:iCs/>
          <w:color w:val="C55A11"/>
          <w:sz w:val="20"/>
          <w:szCs w:val="20"/>
        </w:rPr>
        <w:t xml:space="preserve">Document Status: DRAFT — Living document, updated weekly through end of semester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60" w:before="320"/>
      </w:pPr>
      <w:r>
        <w:t xml:space="preserve">11. Stakeholder Analysis</w:t>
      </w:r>
    </w:p>
    <w:p>
      <w:pPr>
        <w:spacing w:after="160" w:line="276"/>
      </w:pPr>
      <w:r>
        <w:rPr>
          <w:sz w:val="22"/>
          <w:szCs w:val="22"/>
        </w:rPr>
        <w:t xml:space="preserve">The seven stakeholder groups from the project brief were rated from 1 to 10 for power (influence over the project's success) and interest (how much they care about the outcome), then placed on a Power–Interest Grid. The ratings are planning assumptions.</w:t>
      </w:r>
    </w:p>
    <w:p>
      <w:pPr>
        <w:pStyle w:val="Heading2"/>
        <w:spacing w:after="120" w:before="240"/>
      </w:pPr>
      <w:r>
        <w:t xml:space="preserve">11.1 Power–Interest Grid</w:t>
      </w:r>
    </w:p>
    <w:p>
      <w:pPr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55555"/>
          <w:sz w:val="19"/>
          <w:szCs w:val="19"/>
        </w:rPr>
        <w:t xml:space="preserve">Figure 1: Power–Interest Grid. High power and high interest means Manage Closely; high power and low interest means Keep Satisfied; low power and high interest means Keep Informed; low power and low interest means Monitor.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11.2 Stakeholder Ratings and Engagement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900"/>
        <w:gridCol w:w="1400"/>
        <w:gridCol w:w="396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Strategy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Parking facility operators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Closely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check-ins; include in requirements reviews, dashboard demos, and UAT.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City transportation departments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Satisfied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 ordinance and compliance requirements before design sign-off; share milestone summaries.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Third-party payment providers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Satisfied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Secure sandbox access early; track API change notices; keep a named technical contact.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administrators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Informed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 release notes; demo the admin console and gather feedback on roles and permissions.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Finance &amp; billing personnel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Informed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refund and report formats; send updates at payment and reporting milestones.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Drivers &amp; vehicle owners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Informed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notes and in-app notifications; short usability tests and feedback surveys.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 application users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3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app-store reviews and usage data; no dedicated meetings.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555555"/>
          <w:sz w:val="19"/>
          <w:szCs w:val="19"/>
        </w:rPr>
        <w:t xml:space="preserve">Table 1: Stakeholder ratings, grid quadrant, and engagement strategy.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WE ARE $oftware ¢orp.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Smart Parking Platform — Stakeholder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26c4676ecf3ce12dfd3a7e2c61f12e6dd1f9a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2026-10-30T04:42:06.839Z</dcterms:created>
  <dcterms:modified xsi:type="dcterms:W3CDTF">2026-10-30T04:42:06.840Z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